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
        <w:tblW w:w="8998" w:type="dxa"/>
        <w:tblLayout w:type="fixed"/>
        <w:tblLook w:val="0000"/>
      </w:tblPr>
      <w:tblGrid>
        <w:gridCol w:w="8998"/>
      </w:tblGrid>
      <w:tr w:rsidR="001F73FC" w:rsidTr="00FB667B">
        <w:trPr>
          <w:trHeight w:val="1122"/>
        </w:trPr>
        <w:tc>
          <w:tcPr>
            <w:tcW w:w="8106" w:type="dxa"/>
            <w:vAlign w:val="center"/>
          </w:tcPr>
          <w:p w:rsidR="001F73FC" w:rsidRPr="000342E2" w:rsidRDefault="001F73FC" w:rsidP="00FB667B">
            <w:pPr>
              <w:pStyle w:val="normal"/>
              <w:spacing w:before="240"/>
              <w:jc w:val="center"/>
            </w:pPr>
            <w:r>
              <w:t>Глава II. Анализ трансформации функционирования производственной инфраструктуры промышленн</w:t>
            </w:r>
            <w:r w:rsidR="00232908">
              <w:t>ого комплекса</w:t>
            </w:r>
          </w:p>
        </w:tc>
      </w:tr>
      <w:tr w:rsidR="001F73FC" w:rsidTr="00FB667B">
        <w:trPr>
          <w:trHeight w:val="360"/>
        </w:trPr>
        <w:tc>
          <w:tcPr>
            <w:tcW w:w="8106" w:type="dxa"/>
            <w:vAlign w:val="center"/>
          </w:tcPr>
          <w:p w:rsidR="001F73FC" w:rsidRDefault="001F73FC" w:rsidP="00FB667B">
            <w:pPr>
              <w:pStyle w:val="normal"/>
              <w:jc w:val="center"/>
            </w:pPr>
            <w:r>
              <w:t>§ 2.1. Тенденции трансформации промышленности</w:t>
            </w:r>
          </w:p>
        </w:tc>
      </w:tr>
    </w:tbl>
    <w:p w:rsidR="001F73FC"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Проведенное в первой главе работы</w:t>
      </w:r>
      <w:r w:rsidR="0060412C">
        <w:rPr>
          <w:rFonts w:ascii="Times New Roman" w:hAnsi="Times New Roman" w:cs="Times New Roman"/>
          <w:sz w:val="28"/>
          <w:szCs w:val="28"/>
        </w:rPr>
        <w:t xml:space="preserve"> методологическое</w:t>
      </w:r>
      <w:r w:rsidRPr="00801BA5">
        <w:rPr>
          <w:rFonts w:ascii="Times New Roman" w:hAnsi="Times New Roman" w:cs="Times New Roman"/>
          <w:sz w:val="28"/>
          <w:szCs w:val="28"/>
        </w:rPr>
        <w:t xml:space="preserve"> исследование трансформации </w:t>
      </w:r>
      <w:r w:rsidR="0060412C">
        <w:rPr>
          <w:rFonts w:ascii="Times New Roman" w:hAnsi="Times New Roman" w:cs="Times New Roman"/>
          <w:sz w:val="28"/>
          <w:szCs w:val="28"/>
        </w:rPr>
        <w:t>промышленного комплекса</w:t>
      </w:r>
      <w:r w:rsidRPr="00801BA5">
        <w:rPr>
          <w:rFonts w:ascii="Times New Roman" w:hAnsi="Times New Roman" w:cs="Times New Roman"/>
          <w:sz w:val="28"/>
          <w:szCs w:val="28"/>
        </w:rPr>
        <w:t xml:space="preserve"> в процессе </w:t>
      </w:r>
      <w:r w:rsidR="0060412C">
        <w:rPr>
          <w:rFonts w:ascii="Times New Roman" w:hAnsi="Times New Roman" w:cs="Times New Roman"/>
          <w:sz w:val="28"/>
          <w:szCs w:val="28"/>
        </w:rPr>
        <w:t xml:space="preserve">смены технологических укладов </w:t>
      </w:r>
      <w:r w:rsidRPr="00801BA5">
        <w:rPr>
          <w:rFonts w:ascii="Times New Roman" w:hAnsi="Times New Roman" w:cs="Times New Roman"/>
          <w:sz w:val="28"/>
          <w:szCs w:val="28"/>
        </w:rPr>
        <w:t>позволило установить теоретические предпосылки того, что промышленный сектор экон</w:t>
      </w:r>
      <w:r w:rsidR="0060412C">
        <w:rPr>
          <w:rFonts w:ascii="Times New Roman" w:hAnsi="Times New Roman" w:cs="Times New Roman"/>
          <w:sz w:val="28"/>
          <w:szCs w:val="28"/>
        </w:rPr>
        <w:t>омики в данный период, хоть и не утратил своей важнейшей</w:t>
      </w:r>
      <w:r w:rsidRPr="00801BA5">
        <w:rPr>
          <w:rFonts w:ascii="Times New Roman" w:hAnsi="Times New Roman" w:cs="Times New Roman"/>
          <w:sz w:val="28"/>
          <w:szCs w:val="28"/>
        </w:rPr>
        <w:t xml:space="preserve"> роли</w:t>
      </w:r>
      <w:r w:rsidR="0060412C">
        <w:rPr>
          <w:rFonts w:ascii="Times New Roman" w:hAnsi="Times New Roman" w:cs="Times New Roman"/>
          <w:sz w:val="28"/>
          <w:szCs w:val="28"/>
        </w:rPr>
        <w:t>, но имеет значительное долевое снижение в вопросах формирования ВВП страны.</w:t>
      </w:r>
      <w:r w:rsidR="00B3700B">
        <w:rPr>
          <w:rFonts w:ascii="Times New Roman" w:hAnsi="Times New Roman" w:cs="Times New Roman"/>
          <w:sz w:val="28"/>
          <w:szCs w:val="28"/>
        </w:rPr>
        <w:t xml:space="preserve"> Расчеты эмпирического характера, произведенные по официальным данным Федеральной службы государственной статистики показывают правоту этого тезиса, подтверждение чему являются результирующие представленные в таблице.</w:t>
      </w:r>
    </w:p>
    <w:p w:rsidR="00B3700B" w:rsidRDefault="00B3700B" w:rsidP="00B3700B">
      <w:pPr>
        <w:pStyle w:val="normal"/>
        <w:tabs>
          <w:tab w:val="left" w:pos="3645"/>
          <w:tab w:val="left" w:pos="8685"/>
        </w:tabs>
        <w:spacing w:line="240" w:lineRule="auto"/>
        <w:jc w:val="right"/>
      </w:pPr>
      <w:r>
        <w:t xml:space="preserve">Таблица 2.1 </w:t>
      </w:r>
    </w:p>
    <w:p w:rsidR="00B3700B" w:rsidRDefault="00B3700B" w:rsidP="00B3700B">
      <w:pPr>
        <w:pStyle w:val="normal"/>
        <w:tabs>
          <w:tab w:val="left" w:pos="3645"/>
          <w:tab w:val="left" w:pos="8685"/>
        </w:tabs>
        <w:spacing w:line="240" w:lineRule="auto"/>
        <w:jc w:val="center"/>
      </w:pPr>
      <w:r>
        <w:t>Удельный вес промышленного производства по видам экономической деятельности в валовом внутреннем продукте России, в %*</w:t>
      </w:r>
    </w:p>
    <w:tbl>
      <w:tblPr>
        <w:tblW w:w="9371" w:type="dxa"/>
        <w:tblInd w:w="93" w:type="dxa"/>
        <w:tblLayout w:type="fixed"/>
        <w:tblLook w:val="04A0"/>
      </w:tblPr>
      <w:tblGrid>
        <w:gridCol w:w="2850"/>
        <w:gridCol w:w="567"/>
        <w:gridCol w:w="567"/>
        <w:gridCol w:w="567"/>
        <w:gridCol w:w="567"/>
        <w:gridCol w:w="567"/>
        <w:gridCol w:w="567"/>
        <w:gridCol w:w="709"/>
        <w:gridCol w:w="567"/>
        <w:gridCol w:w="567"/>
        <w:gridCol w:w="709"/>
        <w:gridCol w:w="567"/>
      </w:tblGrid>
      <w:tr w:rsidR="00B3700B" w:rsidRPr="00F55F83" w:rsidTr="00260FC5">
        <w:trPr>
          <w:trHeight w:val="185"/>
        </w:trPr>
        <w:tc>
          <w:tcPr>
            <w:tcW w:w="285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2004</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2005</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2006</w:t>
            </w:r>
          </w:p>
        </w:tc>
        <w:tc>
          <w:tcPr>
            <w:tcW w:w="567" w:type="dxa"/>
            <w:tcBorders>
              <w:top w:val="single" w:sz="4" w:space="0" w:color="auto"/>
              <w:left w:val="nil"/>
              <w:bottom w:val="single" w:sz="4" w:space="0" w:color="000000"/>
              <w:right w:val="nil"/>
            </w:tcBorders>
            <w:shd w:val="clear" w:color="auto" w:fill="auto"/>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2008</w:t>
            </w:r>
          </w:p>
        </w:tc>
        <w:tc>
          <w:tcPr>
            <w:tcW w:w="567" w:type="dxa"/>
            <w:tcBorders>
              <w:top w:val="single" w:sz="4" w:space="0" w:color="auto"/>
              <w:left w:val="nil"/>
              <w:bottom w:val="single" w:sz="4" w:space="0" w:color="auto"/>
              <w:right w:val="nil"/>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2011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2012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2013</w:t>
            </w:r>
          </w:p>
        </w:tc>
        <w:tc>
          <w:tcPr>
            <w:tcW w:w="567" w:type="dxa"/>
            <w:tcBorders>
              <w:top w:val="single" w:sz="4" w:space="0" w:color="auto"/>
              <w:left w:val="nil"/>
              <w:bottom w:val="single" w:sz="4" w:space="0" w:color="auto"/>
              <w:right w:val="single" w:sz="4" w:space="0" w:color="auto"/>
            </w:tcBorders>
          </w:tcPr>
          <w:p w:rsidR="00B3700B" w:rsidRPr="00E47E40" w:rsidRDefault="00B3700B" w:rsidP="00260FC5">
            <w:pPr>
              <w:jc w:val="center"/>
              <w:rPr>
                <w:rFonts w:ascii="Arial" w:hAnsi="Arial" w:cs="Arial"/>
                <w:b/>
                <w:bCs/>
                <w:sz w:val="14"/>
                <w:szCs w:val="14"/>
              </w:rPr>
            </w:pPr>
            <w:r w:rsidRPr="00E47E40">
              <w:rPr>
                <w:rFonts w:ascii="Arial" w:hAnsi="Arial" w:cs="Arial"/>
                <w:b/>
                <w:bCs/>
                <w:sz w:val="14"/>
                <w:szCs w:val="14"/>
              </w:rPr>
              <w:t>2014</w:t>
            </w:r>
          </w:p>
        </w:tc>
      </w:tr>
      <w:tr w:rsidR="00B3700B" w:rsidRPr="00F55F83" w:rsidTr="00260FC5">
        <w:trPr>
          <w:trHeight w:val="185"/>
        </w:trPr>
        <w:tc>
          <w:tcPr>
            <w:tcW w:w="285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r w:rsidRPr="00E47E40">
              <w:rPr>
                <w:rFonts w:ascii="Arial" w:hAnsi="Arial" w:cs="Arial"/>
                <w:sz w:val="14"/>
                <w:szCs w:val="14"/>
              </w:rPr>
              <w:t>Промышленность</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30,9</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32,7</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31,9</w:t>
            </w:r>
          </w:p>
        </w:tc>
        <w:tc>
          <w:tcPr>
            <w:tcW w:w="567" w:type="dxa"/>
            <w:tcBorders>
              <w:top w:val="single" w:sz="4" w:space="0" w:color="auto"/>
              <w:left w:val="nil"/>
              <w:bottom w:val="single" w:sz="4" w:space="0" w:color="000000"/>
              <w:right w:val="nil"/>
            </w:tcBorders>
            <w:shd w:val="clear" w:color="auto" w:fill="auto"/>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31,6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29,2</w:t>
            </w:r>
          </w:p>
        </w:tc>
        <w:tc>
          <w:tcPr>
            <w:tcW w:w="567" w:type="dxa"/>
            <w:tcBorders>
              <w:top w:val="single" w:sz="4" w:space="0" w:color="auto"/>
              <w:left w:val="nil"/>
              <w:bottom w:val="single" w:sz="4" w:space="0" w:color="auto"/>
              <w:right w:val="nil"/>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27,4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28,2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30,1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29,3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r>
              <w:rPr>
                <w:rFonts w:ascii="Arial" w:hAnsi="Arial" w:cs="Arial"/>
                <w:b/>
                <w:bCs/>
                <w:sz w:val="14"/>
                <w:szCs w:val="14"/>
              </w:rPr>
              <w:t>29,0</w:t>
            </w:r>
          </w:p>
        </w:tc>
        <w:tc>
          <w:tcPr>
            <w:tcW w:w="567" w:type="dxa"/>
            <w:tcBorders>
              <w:top w:val="single" w:sz="4" w:space="0" w:color="auto"/>
              <w:left w:val="nil"/>
              <w:bottom w:val="single" w:sz="4" w:space="0" w:color="auto"/>
              <w:right w:val="single" w:sz="4" w:space="0" w:color="auto"/>
            </w:tcBorders>
          </w:tcPr>
          <w:p w:rsidR="00B3700B" w:rsidRPr="00E47E40" w:rsidRDefault="00B3700B" w:rsidP="00260FC5">
            <w:pPr>
              <w:jc w:val="center"/>
              <w:rPr>
                <w:rFonts w:ascii="Arial" w:hAnsi="Arial" w:cs="Arial"/>
                <w:b/>
                <w:bCs/>
                <w:sz w:val="14"/>
                <w:szCs w:val="14"/>
              </w:rPr>
            </w:pPr>
            <w:r>
              <w:rPr>
                <w:rFonts w:ascii="Arial" w:hAnsi="Arial" w:cs="Arial"/>
                <w:b/>
                <w:bCs/>
                <w:sz w:val="14"/>
                <w:szCs w:val="14"/>
              </w:rPr>
              <w:t>29,3**</w:t>
            </w:r>
          </w:p>
        </w:tc>
      </w:tr>
      <w:tr w:rsidR="00B3700B" w:rsidRPr="00F55F83" w:rsidTr="00260FC5">
        <w:trPr>
          <w:trHeight w:val="185"/>
        </w:trPr>
        <w:tc>
          <w:tcPr>
            <w:tcW w:w="285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r w:rsidRPr="00E47E40">
              <w:rPr>
                <w:rFonts w:ascii="Arial" w:hAnsi="Arial" w:cs="Arial"/>
                <w:sz w:val="14"/>
                <w:szCs w:val="14"/>
              </w:rPr>
              <w:t>В том числе по видам экономической деятельности</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nil"/>
            </w:tcBorders>
            <w:shd w:val="clear" w:color="auto" w:fill="auto"/>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nil"/>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3700B" w:rsidRPr="00E47E40" w:rsidRDefault="00B3700B"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tcPr>
          <w:p w:rsidR="00B3700B" w:rsidRPr="00E47E40" w:rsidRDefault="00B3700B" w:rsidP="00260FC5">
            <w:pPr>
              <w:jc w:val="center"/>
              <w:rPr>
                <w:rFonts w:ascii="Arial" w:hAnsi="Arial" w:cs="Arial"/>
                <w:b/>
                <w:bCs/>
                <w:sz w:val="14"/>
                <w:szCs w:val="14"/>
              </w:rPr>
            </w:pPr>
          </w:p>
        </w:tc>
      </w:tr>
      <w:tr w:rsidR="00B3700B" w:rsidRPr="00F55F83" w:rsidTr="00260FC5">
        <w:trPr>
          <w:trHeight w:val="185"/>
        </w:trPr>
        <w:tc>
          <w:tcPr>
            <w:tcW w:w="2850" w:type="dxa"/>
            <w:tcBorders>
              <w:top w:val="nil"/>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r w:rsidRPr="00E47E40">
              <w:rPr>
                <w:rFonts w:ascii="Arial" w:hAnsi="Arial" w:cs="Arial"/>
                <w:sz w:val="14"/>
                <w:szCs w:val="14"/>
              </w:rPr>
              <w:t>добыча полезных ископаемых</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9,5</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11,1</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10,9</w:t>
            </w:r>
          </w:p>
        </w:tc>
        <w:tc>
          <w:tcPr>
            <w:tcW w:w="567" w:type="dxa"/>
            <w:tcBorders>
              <w:top w:val="nil"/>
              <w:left w:val="nil"/>
              <w:bottom w:val="single" w:sz="4" w:space="0" w:color="000000"/>
              <w:right w:val="nil"/>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9,3</w:t>
            </w:r>
          </w:p>
        </w:tc>
        <w:tc>
          <w:tcPr>
            <w:tcW w:w="567" w:type="dxa"/>
            <w:tcBorders>
              <w:top w:val="nil"/>
              <w:left w:val="nil"/>
              <w:bottom w:val="single" w:sz="4" w:space="0" w:color="auto"/>
              <w:right w:val="nil"/>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8,5</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9,6</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10,7</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11,0</w:t>
            </w:r>
          </w:p>
        </w:tc>
        <w:tc>
          <w:tcPr>
            <w:tcW w:w="709"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10,4</w:t>
            </w:r>
          </w:p>
        </w:tc>
        <w:tc>
          <w:tcPr>
            <w:tcW w:w="567" w:type="dxa"/>
            <w:tcBorders>
              <w:top w:val="nil"/>
              <w:left w:val="nil"/>
              <w:bottom w:val="single" w:sz="4" w:space="0" w:color="auto"/>
              <w:right w:val="single" w:sz="4" w:space="0" w:color="auto"/>
            </w:tcBorders>
            <w:vAlign w:val="bottom"/>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10,3**</w:t>
            </w:r>
          </w:p>
        </w:tc>
      </w:tr>
      <w:tr w:rsidR="00B3700B" w:rsidRPr="00F55F83" w:rsidTr="00260FC5">
        <w:trPr>
          <w:trHeight w:val="185"/>
        </w:trPr>
        <w:tc>
          <w:tcPr>
            <w:tcW w:w="2850" w:type="dxa"/>
            <w:tcBorders>
              <w:top w:val="nil"/>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r w:rsidRPr="00E47E40">
              <w:rPr>
                <w:rFonts w:ascii="Arial" w:hAnsi="Arial" w:cs="Arial"/>
                <w:sz w:val="14"/>
                <w:szCs w:val="14"/>
              </w:rPr>
              <w:t>обрабатывающие производства</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17,4</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17,9</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17,9</w:t>
            </w:r>
          </w:p>
        </w:tc>
        <w:tc>
          <w:tcPr>
            <w:tcW w:w="567" w:type="dxa"/>
            <w:tcBorders>
              <w:top w:val="nil"/>
              <w:left w:val="nil"/>
              <w:bottom w:val="single" w:sz="4" w:space="0" w:color="000000"/>
              <w:right w:val="nil"/>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17,6</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17,5</w:t>
            </w:r>
          </w:p>
        </w:tc>
        <w:tc>
          <w:tcPr>
            <w:tcW w:w="567" w:type="dxa"/>
            <w:tcBorders>
              <w:top w:val="nil"/>
              <w:left w:val="nil"/>
              <w:bottom w:val="single" w:sz="4" w:space="0" w:color="auto"/>
              <w:right w:val="nil"/>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14,8</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14,8</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15,6</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14,9</w:t>
            </w:r>
          </w:p>
        </w:tc>
        <w:tc>
          <w:tcPr>
            <w:tcW w:w="709"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15,1</w:t>
            </w:r>
          </w:p>
        </w:tc>
        <w:tc>
          <w:tcPr>
            <w:tcW w:w="567" w:type="dxa"/>
            <w:tcBorders>
              <w:top w:val="nil"/>
              <w:left w:val="nil"/>
              <w:bottom w:val="single" w:sz="4" w:space="0" w:color="auto"/>
              <w:right w:val="single" w:sz="4" w:space="0" w:color="auto"/>
            </w:tcBorders>
            <w:vAlign w:val="bottom"/>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15,6**</w:t>
            </w:r>
          </w:p>
        </w:tc>
      </w:tr>
      <w:tr w:rsidR="00B3700B" w:rsidRPr="00F55F83" w:rsidTr="00260FC5">
        <w:trPr>
          <w:trHeight w:val="118"/>
        </w:trPr>
        <w:tc>
          <w:tcPr>
            <w:tcW w:w="2850" w:type="dxa"/>
            <w:tcBorders>
              <w:top w:val="nil"/>
              <w:left w:val="single" w:sz="4" w:space="0" w:color="000000"/>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rPr>
                <w:rFonts w:ascii="Arial" w:hAnsi="Arial" w:cs="Arial"/>
                <w:sz w:val="14"/>
                <w:szCs w:val="14"/>
              </w:rPr>
            </w:pPr>
            <w:r w:rsidRPr="00E47E40">
              <w:rPr>
                <w:rFonts w:ascii="Arial" w:hAnsi="Arial" w:cs="Arial"/>
                <w:sz w:val="14"/>
                <w:szCs w:val="14"/>
              </w:rPr>
              <w:t>производство и распределение электроэнергии, газа и воды</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3,7</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3,2</w:t>
            </w:r>
          </w:p>
        </w:tc>
        <w:tc>
          <w:tcPr>
            <w:tcW w:w="567" w:type="dxa"/>
            <w:tcBorders>
              <w:top w:val="nil"/>
              <w:left w:val="nil"/>
              <w:bottom w:val="single" w:sz="4" w:space="0" w:color="000000"/>
              <w:right w:val="single" w:sz="4" w:space="0" w:color="000000"/>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3,1</w:t>
            </w:r>
          </w:p>
        </w:tc>
        <w:tc>
          <w:tcPr>
            <w:tcW w:w="567" w:type="dxa"/>
            <w:tcBorders>
              <w:top w:val="nil"/>
              <w:left w:val="nil"/>
              <w:bottom w:val="single" w:sz="4" w:space="0" w:color="000000"/>
              <w:right w:val="nil"/>
            </w:tcBorders>
            <w:shd w:val="clear" w:color="auto" w:fill="auto"/>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2,9</w:t>
            </w:r>
          </w:p>
        </w:tc>
        <w:tc>
          <w:tcPr>
            <w:tcW w:w="567" w:type="dxa"/>
            <w:tcBorders>
              <w:top w:val="nil"/>
              <w:left w:val="nil"/>
              <w:bottom w:val="single" w:sz="4" w:space="0" w:color="auto"/>
              <w:right w:val="nil"/>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4,1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3,8</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3,7</w:t>
            </w:r>
          </w:p>
        </w:tc>
        <w:tc>
          <w:tcPr>
            <w:tcW w:w="567"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3,4</w:t>
            </w:r>
          </w:p>
        </w:tc>
        <w:tc>
          <w:tcPr>
            <w:tcW w:w="709" w:type="dxa"/>
            <w:tcBorders>
              <w:top w:val="nil"/>
              <w:left w:val="nil"/>
              <w:bottom w:val="single" w:sz="4" w:space="0" w:color="auto"/>
              <w:right w:val="single" w:sz="4" w:space="0" w:color="auto"/>
            </w:tcBorders>
            <w:shd w:val="clear" w:color="auto" w:fill="auto"/>
            <w:noWrap/>
            <w:vAlign w:val="bottom"/>
            <w:hideMark/>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3,5</w:t>
            </w:r>
          </w:p>
        </w:tc>
        <w:tc>
          <w:tcPr>
            <w:tcW w:w="567" w:type="dxa"/>
            <w:tcBorders>
              <w:top w:val="nil"/>
              <w:left w:val="nil"/>
              <w:bottom w:val="single" w:sz="4" w:space="0" w:color="auto"/>
              <w:right w:val="single" w:sz="4" w:space="0" w:color="auto"/>
            </w:tcBorders>
            <w:vAlign w:val="bottom"/>
          </w:tcPr>
          <w:p w:rsidR="00B3700B" w:rsidRPr="00E47E40" w:rsidRDefault="00B3700B" w:rsidP="00260FC5">
            <w:pPr>
              <w:spacing w:after="0" w:line="240" w:lineRule="auto"/>
              <w:jc w:val="right"/>
              <w:rPr>
                <w:rFonts w:ascii="Arial" w:hAnsi="Arial" w:cs="Arial"/>
                <w:color w:val="000000"/>
                <w:sz w:val="14"/>
                <w:szCs w:val="14"/>
              </w:rPr>
            </w:pPr>
            <w:r>
              <w:rPr>
                <w:rFonts w:ascii="Arial" w:hAnsi="Arial" w:cs="Arial"/>
                <w:color w:val="000000"/>
                <w:sz w:val="14"/>
                <w:szCs w:val="14"/>
              </w:rPr>
              <w:t>3,3**</w:t>
            </w:r>
          </w:p>
        </w:tc>
      </w:tr>
    </w:tbl>
    <w:p w:rsidR="00B3700B" w:rsidRPr="00EA3BC6" w:rsidRDefault="00B3700B" w:rsidP="00B3700B">
      <w:pPr>
        <w:pStyle w:val="2"/>
        <w:shd w:val="clear" w:color="auto" w:fill="FFFFFF"/>
        <w:spacing w:before="0" w:after="0" w:line="240" w:lineRule="auto"/>
        <w:rPr>
          <w:rFonts w:ascii="Times New Roman" w:hAnsi="Times New Roman"/>
          <w:b w:val="0"/>
          <w:bCs w:val="0"/>
          <w:i w:val="0"/>
          <w:color w:val="333333"/>
          <w:sz w:val="24"/>
          <w:szCs w:val="24"/>
        </w:rPr>
      </w:pPr>
      <w:r w:rsidRPr="00EA3BC6">
        <w:rPr>
          <w:rFonts w:ascii="Times New Roman" w:hAnsi="Times New Roman"/>
          <w:b w:val="0"/>
          <w:i w:val="0"/>
          <w:sz w:val="24"/>
          <w:szCs w:val="24"/>
        </w:rPr>
        <w:t>* таблица рассчитана и составлена автором на основе данных: Валовой внутренний продукт и валовая добавленная стоимость по видам экономической деятельности</w:t>
      </w:r>
      <w:r w:rsidRPr="00EA3BC6">
        <w:rPr>
          <w:rFonts w:ascii="Times New Roman" w:hAnsi="Times New Roman"/>
          <w:b w:val="0"/>
          <w:bCs w:val="0"/>
          <w:i w:val="0"/>
          <w:iCs w:val="0"/>
          <w:sz w:val="24"/>
          <w:szCs w:val="24"/>
        </w:rPr>
        <w:t xml:space="preserve"> </w:t>
      </w:r>
      <w:r w:rsidRPr="00EA3BC6">
        <w:rPr>
          <w:rFonts w:ascii="Times New Roman" w:hAnsi="Times New Roman"/>
          <w:b w:val="0"/>
          <w:i w:val="0"/>
          <w:sz w:val="24"/>
          <w:szCs w:val="24"/>
          <w:lang w:val="en-US"/>
        </w:rPr>
        <w:t>URL</w:t>
      </w:r>
      <w:r w:rsidRPr="00EA3BC6">
        <w:rPr>
          <w:rFonts w:ascii="Times New Roman" w:hAnsi="Times New Roman"/>
          <w:b w:val="0"/>
          <w:i w:val="0"/>
          <w:sz w:val="24"/>
          <w:szCs w:val="24"/>
        </w:rPr>
        <w:t>:</w:t>
      </w:r>
      <w:r w:rsidRPr="00EA3BC6">
        <w:rPr>
          <w:rFonts w:ascii="Times New Roman" w:hAnsi="Times New Roman"/>
          <w:b w:val="0"/>
          <w:bCs w:val="0"/>
          <w:i w:val="0"/>
          <w:color w:val="333333"/>
          <w:sz w:val="24"/>
          <w:szCs w:val="24"/>
        </w:rPr>
        <w:t>gks.ru/free_doc/new_site/vvp/tab10.xls</w:t>
      </w:r>
    </w:p>
    <w:p w:rsidR="00B3700B" w:rsidRDefault="00B3700B" w:rsidP="00B3700B">
      <w:pPr>
        <w:spacing w:line="240" w:lineRule="auto"/>
        <w:jc w:val="both"/>
        <w:rPr>
          <w:rFonts w:ascii="Times New Roman" w:hAnsi="Times New Roman" w:cs="Times New Roman"/>
          <w:sz w:val="28"/>
          <w:szCs w:val="28"/>
        </w:rPr>
      </w:pPr>
      <w:r>
        <w:rPr>
          <w:sz w:val="24"/>
          <w:szCs w:val="24"/>
        </w:rPr>
        <w:t>**</w:t>
      </w:r>
      <w:r w:rsidRPr="00BD3BC9">
        <w:rPr>
          <w:sz w:val="24"/>
          <w:szCs w:val="24"/>
        </w:rPr>
        <w:t xml:space="preserve">  </w:t>
      </w:r>
      <w:r w:rsidRPr="004271BB">
        <w:rPr>
          <w:rFonts w:ascii="Times New Roman" w:hAnsi="Times New Roman" w:cs="Times New Roman"/>
        </w:rPr>
        <w:t>Данные  за 2014 год представлены с учётом данных по Крымскому федеральному округу.</w:t>
      </w:r>
    </w:p>
    <w:p w:rsidR="00FB667B"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Учитывая специфику роли, исполняемой промышленностью в современной экономике России, для обеспечения активного социально-экономического роста высокую актуальность приобретает задача исследования факторов ее уско</w:t>
      </w:r>
      <w:r w:rsidR="00B3700B">
        <w:rPr>
          <w:rFonts w:ascii="Times New Roman" w:hAnsi="Times New Roman" w:cs="Times New Roman"/>
          <w:sz w:val="28"/>
          <w:szCs w:val="28"/>
        </w:rPr>
        <w:t>ренного развития. В таблице 2.2</w:t>
      </w:r>
      <w:r w:rsidR="00FB667B">
        <w:rPr>
          <w:rFonts w:ascii="Times New Roman" w:hAnsi="Times New Roman" w:cs="Times New Roman"/>
          <w:sz w:val="28"/>
          <w:szCs w:val="28"/>
        </w:rPr>
        <w:t xml:space="preserve"> представлены показатели, иллюстрирующие изменение показателя удельного различных секторов экономики в формировании валового внутреннего продукта</w:t>
      </w:r>
      <w:r w:rsidR="00F609B4">
        <w:rPr>
          <w:rFonts w:ascii="Times New Roman" w:hAnsi="Times New Roman" w:cs="Times New Roman"/>
          <w:sz w:val="28"/>
          <w:szCs w:val="28"/>
        </w:rPr>
        <w:t xml:space="preserve"> (ВВП)</w:t>
      </w:r>
      <w:r w:rsidR="00FB667B">
        <w:rPr>
          <w:rFonts w:ascii="Times New Roman" w:hAnsi="Times New Roman" w:cs="Times New Roman"/>
          <w:sz w:val="28"/>
          <w:szCs w:val="28"/>
        </w:rPr>
        <w:t xml:space="preserve"> и валовой добавленной стоимости</w:t>
      </w:r>
      <w:r w:rsidR="00F609B4">
        <w:rPr>
          <w:rFonts w:ascii="Times New Roman" w:hAnsi="Times New Roman" w:cs="Times New Roman"/>
          <w:sz w:val="28"/>
          <w:szCs w:val="28"/>
        </w:rPr>
        <w:t xml:space="preserve"> (ВДС)</w:t>
      </w:r>
      <w:r w:rsidR="00FB667B">
        <w:rPr>
          <w:rFonts w:ascii="Times New Roman" w:hAnsi="Times New Roman" w:cs="Times New Roman"/>
          <w:sz w:val="28"/>
          <w:szCs w:val="28"/>
        </w:rPr>
        <w:t xml:space="preserve"> по видам экономической </w:t>
      </w:r>
      <w:r w:rsidR="00FB667B">
        <w:rPr>
          <w:rFonts w:ascii="Times New Roman" w:hAnsi="Times New Roman" w:cs="Times New Roman"/>
          <w:sz w:val="28"/>
          <w:szCs w:val="28"/>
        </w:rPr>
        <w:lastRenderedPageBreak/>
        <w:t xml:space="preserve">деятельности по видам экономической деятельности </w:t>
      </w:r>
      <w:r w:rsidRPr="00801BA5">
        <w:rPr>
          <w:rFonts w:ascii="Times New Roman" w:hAnsi="Times New Roman" w:cs="Times New Roman"/>
          <w:sz w:val="28"/>
          <w:szCs w:val="28"/>
        </w:rPr>
        <w:t>по промышленности в целом и по ее сект</w:t>
      </w:r>
      <w:r w:rsidR="00FB667B">
        <w:rPr>
          <w:rFonts w:ascii="Times New Roman" w:hAnsi="Times New Roman" w:cs="Times New Roman"/>
          <w:sz w:val="28"/>
          <w:szCs w:val="28"/>
        </w:rPr>
        <w:t>орам в частности в период 2004-2014 гг</w:t>
      </w:r>
      <w:r w:rsidRPr="00801BA5">
        <w:rPr>
          <w:rFonts w:ascii="Times New Roman" w:hAnsi="Times New Roman" w:cs="Times New Roman"/>
          <w:sz w:val="28"/>
          <w:szCs w:val="28"/>
        </w:rPr>
        <w:t>.</w:t>
      </w:r>
    </w:p>
    <w:p w:rsidR="004271BB" w:rsidRDefault="00FB667B" w:rsidP="004271BB">
      <w:pPr>
        <w:spacing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F609B4">
        <w:rPr>
          <w:rFonts w:ascii="Times New Roman" w:hAnsi="Times New Roman" w:cs="Times New Roman"/>
          <w:sz w:val="28"/>
          <w:szCs w:val="28"/>
        </w:rPr>
        <w:t>2.</w:t>
      </w:r>
      <w:r w:rsidR="00033301">
        <w:rPr>
          <w:rFonts w:ascii="Times New Roman" w:hAnsi="Times New Roman" w:cs="Times New Roman"/>
          <w:sz w:val="28"/>
          <w:szCs w:val="28"/>
        </w:rPr>
        <w:t>2</w:t>
      </w:r>
    </w:p>
    <w:p w:rsidR="004271BB" w:rsidRPr="004271BB" w:rsidRDefault="004271BB" w:rsidP="004271BB">
      <w:pPr>
        <w:spacing w:line="240" w:lineRule="auto"/>
        <w:ind w:firstLine="708"/>
        <w:jc w:val="right"/>
        <w:rPr>
          <w:rFonts w:ascii="Times New Roman" w:hAnsi="Times New Roman" w:cs="Times New Roman"/>
          <w:sz w:val="28"/>
          <w:szCs w:val="28"/>
        </w:rPr>
      </w:pPr>
      <w:r w:rsidRPr="004271BB">
        <w:rPr>
          <w:rFonts w:ascii="Times New Roman" w:eastAsia="Times New Roman" w:hAnsi="Times New Roman" w:cs="Times New Roman"/>
          <w:bCs/>
          <w:iCs/>
          <w:sz w:val="28"/>
          <w:szCs w:val="28"/>
        </w:rPr>
        <w:t>Валовой внутренний продукт и валовая добавленная стоимость по видам экономической деятельности</w:t>
      </w:r>
      <w:r>
        <w:rPr>
          <w:rFonts w:ascii="Times New Roman" w:eastAsia="Times New Roman" w:hAnsi="Times New Roman" w:cs="Times New Roman"/>
          <w:bCs/>
          <w:iCs/>
          <w:sz w:val="28"/>
          <w:szCs w:val="28"/>
        </w:rPr>
        <w:t xml:space="preserve"> </w:t>
      </w:r>
      <w:r w:rsidRPr="004271BB">
        <w:rPr>
          <w:rFonts w:ascii="Times New Roman" w:eastAsia="Times New Roman" w:hAnsi="Times New Roman" w:cs="Times New Roman"/>
          <w:bCs/>
          <w:sz w:val="28"/>
          <w:szCs w:val="28"/>
        </w:rPr>
        <w:t>( в текущих ценах, млрд. рублей)</w:t>
      </w:r>
    </w:p>
    <w:tbl>
      <w:tblPr>
        <w:tblW w:w="951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7"/>
        <w:gridCol w:w="708"/>
        <w:gridCol w:w="709"/>
        <w:gridCol w:w="709"/>
        <w:gridCol w:w="709"/>
        <w:gridCol w:w="708"/>
        <w:gridCol w:w="709"/>
        <w:gridCol w:w="709"/>
        <w:gridCol w:w="850"/>
        <w:gridCol w:w="709"/>
        <w:gridCol w:w="709"/>
        <w:gridCol w:w="709"/>
      </w:tblGrid>
      <w:tr w:rsidR="00F609B4" w:rsidRPr="00F609B4" w:rsidTr="00260FC5">
        <w:trPr>
          <w:trHeight w:val="28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p>
        </w:tc>
        <w:tc>
          <w:tcPr>
            <w:tcW w:w="708"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2004</w:t>
            </w:r>
          </w:p>
        </w:tc>
        <w:tc>
          <w:tcPr>
            <w:tcW w:w="709" w:type="dxa"/>
            <w:shd w:val="clear" w:color="auto" w:fill="auto"/>
            <w:noWrap/>
            <w:vAlign w:val="bottom"/>
            <w:hideMark/>
          </w:tcPr>
          <w:p w:rsidR="00FB667B"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2005</w:t>
            </w:r>
            <w:r w:rsidR="00FB667B"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2006</w:t>
            </w:r>
          </w:p>
        </w:tc>
        <w:tc>
          <w:tcPr>
            <w:tcW w:w="709" w:type="dxa"/>
            <w:shd w:val="clear" w:color="auto" w:fill="auto"/>
            <w:noWrap/>
            <w:vAlign w:val="bottom"/>
            <w:hideMark/>
          </w:tcPr>
          <w:p w:rsidR="00FB667B"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2007</w:t>
            </w:r>
            <w:r w:rsidR="00FB667B" w:rsidRPr="00F609B4">
              <w:rPr>
                <w:rFonts w:ascii="Times New Roman" w:eastAsia="Times New Roman" w:hAnsi="Times New Roman" w:cs="Times New Roman"/>
                <w:sz w:val="14"/>
                <w:szCs w:val="14"/>
              </w:rPr>
              <w:t> </w:t>
            </w:r>
          </w:p>
        </w:tc>
        <w:tc>
          <w:tcPr>
            <w:tcW w:w="708"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2008</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2009</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2010</w:t>
            </w:r>
          </w:p>
        </w:tc>
        <w:tc>
          <w:tcPr>
            <w:tcW w:w="850"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2011</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2012</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2013</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r w:rsidR="004271BB">
              <w:rPr>
                <w:rFonts w:ascii="Times New Roman" w:eastAsia="Times New Roman" w:hAnsi="Times New Roman" w:cs="Times New Roman"/>
                <w:sz w:val="14"/>
                <w:szCs w:val="14"/>
              </w:rPr>
              <w:t>2014</w:t>
            </w:r>
          </w:p>
        </w:tc>
      </w:tr>
      <w:tr w:rsidR="00F609B4" w:rsidRPr="00F609B4" w:rsidTr="00260FC5">
        <w:trPr>
          <w:trHeight w:val="285"/>
        </w:trPr>
        <w:tc>
          <w:tcPr>
            <w:tcW w:w="1577" w:type="dxa"/>
            <w:shd w:val="clear" w:color="auto" w:fill="auto"/>
            <w:hideMark/>
          </w:tcPr>
          <w:p w:rsidR="00F609B4" w:rsidRPr="00F609B4" w:rsidRDefault="00F609B4" w:rsidP="00F609B4">
            <w:pPr>
              <w:spacing w:after="0" w:line="240" w:lineRule="auto"/>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ВВП в рыночных ценах</w:t>
            </w:r>
          </w:p>
        </w:tc>
        <w:tc>
          <w:tcPr>
            <w:tcW w:w="708"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17027,2</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21609,3</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26917,2</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33247,5</w:t>
            </w:r>
          </w:p>
        </w:tc>
        <w:tc>
          <w:tcPr>
            <w:tcW w:w="708"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41276,5</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38807,2</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46308,5</w:t>
            </w:r>
          </w:p>
        </w:tc>
        <w:tc>
          <w:tcPr>
            <w:tcW w:w="850"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55967,2</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62176,5</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66190,1</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71406,4</w:t>
            </w:r>
          </w:p>
        </w:tc>
      </w:tr>
      <w:tr w:rsidR="00F609B4" w:rsidRPr="00F609B4" w:rsidTr="00260FC5">
        <w:trPr>
          <w:trHeight w:val="285"/>
        </w:trPr>
        <w:tc>
          <w:tcPr>
            <w:tcW w:w="1577" w:type="dxa"/>
            <w:shd w:val="clear" w:color="auto" w:fill="auto"/>
            <w:hideMark/>
          </w:tcPr>
          <w:p w:rsidR="00F609B4" w:rsidRPr="00F609B4" w:rsidRDefault="00F609B4" w:rsidP="00F609B4">
            <w:pPr>
              <w:spacing w:after="0" w:line="240" w:lineRule="auto"/>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в том числе:</w:t>
            </w:r>
          </w:p>
        </w:tc>
        <w:tc>
          <w:tcPr>
            <w:tcW w:w="708"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8"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850"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r>
      <w:tr w:rsidR="00F609B4" w:rsidRPr="00F609B4" w:rsidTr="00260FC5">
        <w:trPr>
          <w:trHeight w:val="285"/>
        </w:trPr>
        <w:tc>
          <w:tcPr>
            <w:tcW w:w="1577" w:type="dxa"/>
            <w:shd w:val="clear" w:color="auto" w:fill="auto"/>
            <w:hideMark/>
          </w:tcPr>
          <w:p w:rsidR="00F609B4" w:rsidRPr="00F609B4" w:rsidRDefault="00F609B4" w:rsidP="00F609B4">
            <w:pPr>
              <w:spacing w:after="0" w:line="240" w:lineRule="auto"/>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ВДС в основных ценах</w:t>
            </w:r>
          </w:p>
        </w:tc>
        <w:tc>
          <w:tcPr>
            <w:tcW w:w="708"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14858,8</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18517,7</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22977,3</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28484,5</w:t>
            </w:r>
          </w:p>
        </w:tc>
        <w:tc>
          <w:tcPr>
            <w:tcW w:w="708"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35182,7</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33813,3</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40040,1</w:t>
            </w:r>
          </w:p>
        </w:tc>
        <w:tc>
          <w:tcPr>
            <w:tcW w:w="850"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47718,9</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52982,9</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56896,1</w:t>
            </w:r>
          </w:p>
        </w:tc>
        <w:tc>
          <w:tcPr>
            <w:tcW w:w="709" w:type="dxa"/>
            <w:shd w:val="clear" w:color="auto" w:fill="auto"/>
            <w:noWrap/>
            <w:vAlign w:val="bottom"/>
            <w:hideMark/>
          </w:tcPr>
          <w:p w:rsidR="00F609B4" w:rsidRPr="00F609B4" w:rsidRDefault="004271BB" w:rsidP="00FB667B">
            <w:pPr>
              <w:spacing w:after="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61089,4</w:t>
            </w:r>
          </w:p>
        </w:tc>
      </w:tr>
      <w:tr w:rsidR="00F609B4" w:rsidRPr="00F609B4" w:rsidTr="00260FC5">
        <w:trPr>
          <w:trHeight w:val="285"/>
        </w:trPr>
        <w:tc>
          <w:tcPr>
            <w:tcW w:w="1577" w:type="dxa"/>
            <w:shd w:val="clear" w:color="auto" w:fill="auto"/>
            <w:hideMark/>
          </w:tcPr>
          <w:p w:rsidR="00F609B4" w:rsidRPr="00F609B4" w:rsidRDefault="00F609B4"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в том числе:</w:t>
            </w:r>
          </w:p>
        </w:tc>
        <w:tc>
          <w:tcPr>
            <w:tcW w:w="708"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8"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850"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c>
          <w:tcPr>
            <w:tcW w:w="709" w:type="dxa"/>
            <w:shd w:val="clear" w:color="auto" w:fill="auto"/>
            <w:noWrap/>
            <w:vAlign w:val="bottom"/>
            <w:hideMark/>
          </w:tcPr>
          <w:p w:rsidR="00F609B4" w:rsidRPr="00F609B4" w:rsidRDefault="00F609B4" w:rsidP="00FB667B">
            <w:pPr>
              <w:spacing w:after="0" w:line="240" w:lineRule="auto"/>
              <w:rPr>
                <w:rFonts w:ascii="Times New Roman" w:eastAsia="Times New Roman" w:hAnsi="Times New Roman" w:cs="Times New Roman"/>
                <w:sz w:val="14"/>
                <w:szCs w:val="14"/>
              </w:rPr>
            </w:pPr>
          </w:p>
        </w:tc>
      </w:tr>
      <w:tr w:rsidR="00F609B4" w:rsidRPr="00F609B4" w:rsidTr="00260FC5">
        <w:trPr>
          <w:trHeight w:val="48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Сельское хозяйство, охота и лесное хозяйство</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773,4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864,2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981,3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1 194,8</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1 486,6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1 504,4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1 451,5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1 986,3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1 979,6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2 178,3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2 424,5</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Рыболовство, рыбоводство</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61,7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55,5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58,1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61,6</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62,7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80,6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97,0</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98,6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103,1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112,2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124,1</w:t>
            </w:r>
          </w:p>
        </w:tc>
      </w:tr>
      <w:tr w:rsidR="00F609B4" w:rsidRPr="00F609B4" w:rsidTr="00260FC5">
        <w:trPr>
          <w:trHeight w:val="48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Добыча полезных ископаемых</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1 411,6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2 064,3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2 509,4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2 865,5</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3 284,6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2 885,4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3 842,8</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5 110,7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5 826,1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5 893,9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6 306,0</w:t>
            </w:r>
          </w:p>
        </w:tc>
      </w:tr>
      <w:tr w:rsidR="00F609B4" w:rsidRPr="00F609B4" w:rsidTr="00260FC5">
        <w:trPr>
          <w:trHeight w:val="48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Обрабатывающие производства</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2 590,9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3 388,5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4 116,0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5 025,2</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6 163,9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5 005,3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5 934,7</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7 433,5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7 877,7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8 588,9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9 536,2</w:t>
            </w:r>
          </w:p>
        </w:tc>
      </w:tr>
      <w:tr w:rsidR="00F609B4" w:rsidRPr="00F609B4" w:rsidTr="00260FC5">
        <w:trPr>
          <w:trHeight w:val="72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Производство и распределение электроэнергии, газа и воды</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548,3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608,4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727,0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855,9</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1 034,0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1 388,7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1 527,1</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1 797,7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1 824,2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1 975,6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2 075,4</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Строительство</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847,1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989,9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1 202,0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1 633,9</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2 225,3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2 101,5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2 587,8</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3 517,5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4 061,7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3 994,3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3 964,5</w:t>
            </w:r>
          </w:p>
        </w:tc>
      </w:tr>
      <w:tr w:rsidR="00F609B4" w:rsidRPr="00F609B4" w:rsidTr="00260FC5">
        <w:trPr>
          <w:trHeight w:val="513"/>
        </w:trPr>
        <w:tc>
          <w:tcPr>
            <w:tcW w:w="1577" w:type="dxa"/>
            <w:shd w:val="clear" w:color="auto" w:fill="auto"/>
            <w:hideMark/>
          </w:tcPr>
          <w:p w:rsidR="00FB667B" w:rsidRPr="00F609B4" w:rsidRDefault="00FB667B" w:rsidP="00B3700B">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Оптовая и розничная торговля</w:t>
            </w:r>
            <w:r w:rsidR="00B3700B">
              <w:rPr>
                <w:rFonts w:ascii="Times New Roman" w:eastAsia="Times New Roman" w:hAnsi="Times New Roman" w:cs="Times New Roman"/>
                <w:b/>
                <w:bCs/>
                <w:sz w:val="14"/>
                <w:szCs w:val="14"/>
              </w:rPr>
              <w:t xml:space="preserve"> и пр.</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3 012,2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3 610,5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4 673,6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5 745,0</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7 137,7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6 060,5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8 021,0</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9 115,2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9 693,3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9 887,5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10 575,2</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Гостиницы и рестораны</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139,9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167,8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206,7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286,3</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358,0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343,7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403,3</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466,9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533,3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595,6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636,8</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Транспорт и связь</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1 642,4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1 897,0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2 247,6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2 750,9</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3 258,3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3 249,6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3 662,5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4 114,7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4 699,7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5 098,9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5 333,0</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Финансовая деятельность</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474,1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701,2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977,2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1 253,8</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1 537,8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1 707,2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1 773,5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1 956,1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2 397,5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2 847,3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3 243,8</w:t>
            </w:r>
          </w:p>
        </w:tc>
      </w:tr>
      <w:tr w:rsidR="00F609B4" w:rsidRPr="00F609B4" w:rsidTr="00260FC5">
        <w:trPr>
          <w:trHeight w:val="72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Операции с недвижимым имуществом, аренда и предоставление услуг</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1 408,0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1 828,8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2 287,6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3 102,8</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3 959,4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4 220,6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4 901,5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5 509,4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6 240,4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6 860,0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7 459,9</w:t>
            </w:r>
          </w:p>
        </w:tc>
      </w:tr>
      <w:tr w:rsidR="00F609B4" w:rsidRPr="00F609B4" w:rsidTr="00260FC5">
        <w:trPr>
          <w:trHeight w:val="96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Государственное управление и обеспечение военной безопасности; социальное страхование</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802,5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959,1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1 189,2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1 466,4</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1 884,4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2 203,2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2 423,5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2 673,1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3 364,6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3 794,4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3 984,3</w:t>
            </w:r>
          </w:p>
        </w:tc>
      </w:tr>
      <w:tr w:rsidR="00F609B4" w:rsidRPr="00F609B4" w:rsidTr="00260FC5">
        <w:trPr>
          <w:trHeight w:val="255"/>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Образование</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400,1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493,2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619,3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769,9</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970,7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1 134,2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1 226,0</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1 387,8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1 550,3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1 774,1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1 823,0</w:t>
            </w:r>
          </w:p>
        </w:tc>
      </w:tr>
      <w:tr w:rsidR="00F609B4" w:rsidRPr="00F609B4" w:rsidTr="00260FC5">
        <w:trPr>
          <w:trHeight w:val="72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Здравоохранение и предоставление социальных услуг</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472,6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564,7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765,5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950,5</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1 197,8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1 360,3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1 487,3</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1 758,6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1 936,8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2 301,0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2 529,0</w:t>
            </w:r>
          </w:p>
        </w:tc>
      </w:tr>
      <w:tr w:rsidR="00F609B4" w:rsidRPr="00F609B4" w:rsidTr="00260FC5">
        <w:trPr>
          <w:trHeight w:val="72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Предоставление прочих коммунальных, социальных и персональных услуг</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273,8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324,7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417,1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522,1</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621,5</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586,0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700,6</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792,6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894,3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994,0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1 073,8</w:t>
            </w:r>
          </w:p>
        </w:tc>
      </w:tr>
      <w:tr w:rsidR="00F609B4" w:rsidRPr="00F609B4" w:rsidTr="00260FC5">
        <w:trPr>
          <w:trHeight w:val="48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Деятельность домашних хозяйств</w:t>
            </w:r>
          </w:p>
        </w:tc>
        <w:tc>
          <w:tcPr>
            <w:tcW w:w="708"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8"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 </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0,0</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0,0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0,1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0,1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0,1</w:t>
            </w:r>
          </w:p>
        </w:tc>
      </w:tr>
      <w:tr w:rsidR="00F609B4" w:rsidRPr="00F609B4" w:rsidTr="00260FC5">
        <w:trPr>
          <w:trHeight w:val="30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 xml:space="preserve">Налоги на продукты </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2 352,1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3 248,2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4 090,1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4 977,6</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6 323,8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5 202,1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6 462,6</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8 463,3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9 411,8</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9 510,9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10 550,8</w:t>
            </w:r>
          </w:p>
        </w:tc>
      </w:tr>
      <w:tr w:rsidR="00F609B4" w:rsidRPr="00F609B4" w:rsidTr="00260FC5">
        <w:trPr>
          <w:trHeight w:val="30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Субсидии на продукты</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183,7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156,1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150,2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214,5</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229,7</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226,2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194,1</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215,0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218,2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216,9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233,8</w:t>
            </w:r>
          </w:p>
        </w:tc>
      </w:tr>
      <w:tr w:rsidR="00F609B4" w:rsidRPr="00F609B4" w:rsidTr="00260FC5">
        <w:trPr>
          <w:trHeight w:val="300"/>
        </w:trPr>
        <w:tc>
          <w:tcPr>
            <w:tcW w:w="1577" w:type="dxa"/>
            <w:shd w:val="clear" w:color="auto" w:fill="auto"/>
            <w:hideMark/>
          </w:tcPr>
          <w:p w:rsidR="00FB667B" w:rsidRPr="00F609B4" w:rsidRDefault="00FB667B" w:rsidP="00F609B4">
            <w:pPr>
              <w:spacing w:after="0" w:line="240" w:lineRule="auto"/>
              <w:rPr>
                <w:rFonts w:ascii="Times New Roman" w:eastAsia="Times New Roman" w:hAnsi="Times New Roman" w:cs="Times New Roman"/>
                <w:b/>
                <w:bCs/>
                <w:sz w:val="14"/>
                <w:szCs w:val="14"/>
              </w:rPr>
            </w:pPr>
            <w:r w:rsidRPr="00F609B4">
              <w:rPr>
                <w:rFonts w:ascii="Times New Roman" w:eastAsia="Times New Roman" w:hAnsi="Times New Roman" w:cs="Times New Roman"/>
                <w:b/>
                <w:bCs/>
                <w:sz w:val="14"/>
                <w:szCs w:val="14"/>
              </w:rPr>
              <w:t xml:space="preserve">Чистые налоги на продукты </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2 168,4</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3 092,1</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3 939,9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4 763,0</w:t>
            </w:r>
          </w:p>
        </w:tc>
        <w:tc>
          <w:tcPr>
            <w:tcW w:w="708"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6 094,2</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4 975,9</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6 268,5</w:t>
            </w:r>
          </w:p>
        </w:tc>
        <w:tc>
          <w:tcPr>
            <w:tcW w:w="850"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8 248,3</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9 193,6</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9 294,0</w:t>
            </w:r>
          </w:p>
        </w:tc>
        <w:tc>
          <w:tcPr>
            <w:tcW w:w="709" w:type="dxa"/>
            <w:shd w:val="clear" w:color="auto" w:fill="auto"/>
            <w:noWrap/>
            <w:vAlign w:val="bottom"/>
            <w:hideMark/>
          </w:tcPr>
          <w:p w:rsidR="00FB667B" w:rsidRPr="00F609B4" w:rsidRDefault="00FB667B" w:rsidP="00FB667B">
            <w:pPr>
              <w:spacing w:after="0" w:line="240" w:lineRule="auto"/>
              <w:jc w:val="right"/>
              <w:rPr>
                <w:rFonts w:ascii="Times New Roman" w:eastAsia="Times New Roman" w:hAnsi="Times New Roman" w:cs="Times New Roman"/>
                <w:sz w:val="14"/>
                <w:szCs w:val="14"/>
              </w:rPr>
            </w:pPr>
            <w:r w:rsidRPr="00F609B4">
              <w:rPr>
                <w:rFonts w:ascii="Times New Roman" w:eastAsia="Times New Roman" w:hAnsi="Times New Roman" w:cs="Times New Roman"/>
                <w:sz w:val="14"/>
                <w:szCs w:val="14"/>
              </w:rPr>
              <w:t>10 317,0</w:t>
            </w:r>
          </w:p>
        </w:tc>
      </w:tr>
    </w:tbl>
    <w:p w:rsidR="004271BB" w:rsidRPr="004271BB" w:rsidRDefault="004271BB" w:rsidP="004271BB">
      <w:pPr>
        <w:pStyle w:val="2"/>
        <w:shd w:val="clear" w:color="auto" w:fill="FFFFFF"/>
        <w:spacing w:before="0" w:after="0" w:line="240" w:lineRule="auto"/>
        <w:rPr>
          <w:rFonts w:ascii="Times New Roman" w:hAnsi="Times New Roman"/>
          <w:b w:val="0"/>
          <w:bCs w:val="0"/>
          <w:i w:val="0"/>
          <w:color w:val="333333"/>
          <w:sz w:val="22"/>
          <w:szCs w:val="22"/>
        </w:rPr>
      </w:pPr>
      <w:r w:rsidRPr="004271BB">
        <w:rPr>
          <w:rFonts w:ascii="Times New Roman" w:hAnsi="Times New Roman"/>
          <w:b w:val="0"/>
          <w:i w:val="0"/>
          <w:sz w:val="22"/>
          <w:szCs w:val="22"/>
        </w:rPr>
        <w:t>* таблица составлена автором на основе данных: Валовой внутренний продукт и валовая добавленная стоимость по видам экономической деятельности</w:t>
      </w:r>
      <w:r w:rsidRPr="004271BB">
        <w:rPr>
          <w:rFonts w:ascii="Times New Roman" w:hAnsi="Times New Roman"/>
          <w:b w:val="0"/>
          <w:bCs w:val="0"/>
          <w:i w:val="0"/>
          <w:iCs w:val="0"/>
          <w:sz w:val="22"/>
          <w:szCs w:val="22"/>
        </w:rPr>
        <w:t xml:space="preserve"> </w:t>
      </w:r>
      <w:r w:rsidRPr="004271BB">
        <w:rPr>
          <w:rFonts w:ascii="Times New Roman" w:hAnsi="Times New Roman"/>
          <w:b w:val="0"/>
          <w:i w:val="0"/>
          <w:sz w:val="22"/>
          <w:szCs w:val="22"/>
          <w:lang w:val="en-US"/>
        </w:rPr>
        <w:t>URL</w:t>
      </w:r>
      <w:r w:rsidRPr="004271BB">
        <w:rPr>
          <w:rFonts w:ascii="Times New Roman" w:hAnsi="Times New Roman"/>
          <w:b w:val="0"/>
          <w:i w:val="0"/>
          <w:sz w:val="22"/>
          <w:szCs w:val="22"/>
        </w:rPr>
        <w:t>:</w:t>
      </w:r>
      <w:bookmarkStart w:id="0" w:name="OLE_LINK1"/>
      <w:bookmarkStart w:id="1" w:name="OLE_LINK2"/>
      <w:r w:rsidRPr="004271BB">
        <w:rPr>
          <w:rFonts w:ascii="Times New Roman" w:hAnsi="Times New Roman"/>
          <w:b w:val="0"/>
          <w:bCs w:val="0"/>
          <w:i w:val="0"/>
          <w:color w:val="333333"/>
          <w:sz w:val="22"/>
          <w:szCs w:val="22"/>
        </w:rPr>
        <w:t>gks.ru/free_doc/new_site/vvp/tab10.xls</w:t>
      </w:r>
      <w:bookmarkEnd w:id="0"/>
      <w:bookmarkEnd w:id="1"/>
    </w:p>
    <w:p w:rsidR="00FB667B" w:rsidRPr="004271BB" w:rsidRDefault="004271BB" w:rsidP="004271BB">
      <w:pPr>
        <w:spacing w:line="360" w:lineRule="auto"/>
        <w:jc w:val="both"/>
        <w:rPr>
          <w:rFonts w:ascii="Times New Roman" w:hAnsi="Times New Roman" w:cs="Times New Roman"/>
        </w:rPr>
      </w:pPr>
      <w:r w:rsidRPr="004271BB">
        <w:rPr>
          <w:rFonts w:ascii="Times New Roman" w:hAnsi="Times New Roman" w:cs="Times New Roman"/>
        </w:rPr>
        <w:t>** Данные  за 2014 год представлены с учётом данных по Крымскому федеральному округу.</w:t>
      </w:r>
    </w:p>
    <w:p w:rsidR="00033301" w:rsidRDefault="00033301" w:rsidP="00260FC5">
      <w:pPr>
        <w:pStyle w:val="normal"/>
        <w:tabs>
          <w:tab w:val="left" w:pos="3645"/>
          <w:tab w:val="left" w:pos="8685"/>
        </w:tabs>
      </w:pPr>
      <w:r>
        <w:lastRenderedPageBreak/>
        <w:t>При этом индексы промышленного производства как в целом по промышленному комплексу, так и по основным отраслям, хоть и имели в большинстве лет положительный показатель, но начиная с 2008 года не разу не превышал 5% барьер, и к тому же имеет отрицательную динамику прироста.</w:t>
      </w:r>
    </w:p>
    <w:p w:rsidR="00033301" w:rsidRDefault="00033301" w:rsidP="00033301">
      <w:pPr>
        <w:pStyle w:val="normal"/>
        <w:tabs>
          <w:tab w:val="left" w:pos="3645"/>
          <w:tab w:val="left" w:pos="8685"/>
        </w:tabs>
        <w:spacing w:line="240" w:lineRule="auto"/>
      </w:pPr>
    </w:p>
    <w:p w:rsidR="00033301" w:rsidRDefault="00033301" w:rsidP="00033301">
      <w:pPr>
        <w:pStyle w:val="normal"/>
        <w:tabs>
          <w:tab w:val="left" w:pos="3645"/>
          <w:tab w:val="left" w:pos="8685"/>
        </w:tabs>
        <w:spacing w:line="240" w:lineRule="auto"/>
        <w:jc w:val="right"/>
      </w:pPr>
      <w:r>
        <w:t>Таблица 2</w:t>
      </w:r>
      <w:r w:rsidR="000528B4">
        <w:t>.3</w:t>
      </w:r>
    </w:p>
    <w:p w:rsidR="00033301" w:rsidRDefault="00033301" w:rsidP="00033301">
      <w:pPr>
        <w:pStyle w:val="normal"/>
        <w:tabs>
          <w:tab w:val="left" w:pos="3645"/>
          <w:tab w:val="left" w:pos="8685"/>
        </w:tabs>
        <w:spacing w:line="240" w:lineRule="auto"/>
        <w:jc w:val="center"/>
      </w:pPr>
      <w:r>
        <w:t>Индексы промышленного производства по видам экономической деятельности  в Российской Федерации*</w:t>
      </w:r>
    </w:p>
    <w:tbl>
      <w:tblPr>
        <w:tblW w:w="9654" w:type="dxa"/>
        <w:tblInd w:w="93" w:type="dxa"/>
        <w:tblLayout w:type="fixed"/>
        <w:tblLook w:val="04A0"/>
      </w:tblPr>
      <w:tblGrid>
        <w:gridCol w:w="3417"/>
        <w:gridCol w:w="567"/>
        <w:gridCol w:w="567"/>
        <w:gridCol w:w="567"/>
        <w:gridCol w:w="567"/>
        <w:gridCol w:w="567"/>
        <w:gridCol w:w="567"/>
        <w:gridCol w:w="567"/>
        <w:gridCol w:w="567"/>
        <w:gridCol w:w="567"/>
        <w:gridCol w:w="567"/>
        <w:gridCol w:w="567"/>
      </w:tblGrid>
      <w:tr w:rsidR="00033301" w:rsidRPr="00F55F83" w:rsidTr="00260FC5">
        <w:trPr>
          <w:trHeight w:val="185"/>
        </w:trPr>
        <w:tc>
          <w:tcPr>
            <w:tcW w:w="341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2004</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2005</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2006</w:t>
            </w:r>
          </w:p>
        </w:tc>
        <w:tc>
          <w:tcPr>
            <w:tcW w:w="567" w:type="dxa"/>
            <w:tcBorders>
              <w:top w:val="single" w:sz="4" w:space="0" w:color="auto"/>
              <w:left w:val="nil"/>
              <w:bottom w:val="single" w:sz="4" w:space="0" w:color="000000"/>
              <w:right w:val="nil"/>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2008</w:t>
            </w:r>
          </w:p>
        </w:tc>
        <w:tc>
          <w:tcPr>
            <w:tcW w:w="567" w:type="dxa"/>
            <w:tcBorders>
              <w:top w:val="single" w:sz="4" w:space="0" w:color="auto"/>
              <w:left w:val="nil"/>
              <w:bottom w:val="single" w:sz="4" w:space="0" w:color="auto"/>
              <w:right w:val="nil"/>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2009</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2011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2013</w:t>
            </w:r>
          </w:p>
        </w:tc>
        <w:tc>
          <w:tcPr>
            <w:tcW w:w="567" w:type="dxa"/>
            <w:tcBorders>
              <w:top w:val="single" w:sz="4" w:space="0" w:color="auto"/>
              <w:left w:val="nil"/>
              <w:bottom w:val="single" w:sz="4" w:space="0" w:color="auto"/>
              <w:right w:val="single" w:sz="4" w:space="0" w:color="auto"/>
            </w:tcBorders>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2014</w:t>
            </w:r>
          </w:p>
        </w:tc>
      </w:tr>
      <w:tr w:rsidR="00033301" w:rsidRPr="00F55F83" w:rsidTr="00260FC5">
        <w:trPr>
          <w:trHeight w:val="185"/>
        </w:trPr>
        <w:tc>
          <w:tcPr>
            <w:tcW w:w="341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r w:rsidRPr="00E47E40">
              <w:rPr>
                <w:rFonts w:ascii="Arial" w:hAnsi="Arial" w:cs="Arial"/>
                <w:sz w:val="14"/>
                <w:szCs w:val="14"/>
              </w:rPr>
              <w:t>Промышленность</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108,0</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105,1</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106,3</w:t>
            </w:r>
          </w:p>
        </w:tc>
        <w:tc>
          <w:tcPr>
            <w:tcW w:w="567" w:type="dxa"/>
            <w:tcBorders>
              <w:top w:val="single" w:sz="4" w:space="0" w:color="auto"/>
              <w:left w:val="nil"/>
              <w:bottom w:val="single" w:sz="4" w:space="0" w:color="000000"/>
              <w:right w:val="nil"/>
            </w:tcBorders>
            <w:shd w:val="clear" w:color="auto" w:fill="auto"/>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106,8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100,6</w:t>
            </w:r>
          </w:p>
        </w:tc>
        <w:tc>
          <w:tcPr>
            <w:tcW w:w="567" w:type="dxa"/>
            <w:tcBorders>
              <w:top w:val="single" w:sz="4" w:space="0" w:color="auto"/>
              <w:left w:val="nil"/>
              <w:bottom w:val="single" w:sz="4" w:space="0" w:color="auto"/>
              <w:right w:val="nil"/>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89,3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107,3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105,0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103,4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100,4</w:t>
            </w:r>
          </w:p>
        </w:tc>
        <w:tc>
          <w:tcPr>
            <w:tcW w:w="567" w:type="dxa"/>
            <w:tcBorders>
              <w:top w:val="single" w:sz="4" w:space="0" w:color="auto"/>
              <w:left w:val="nil"/>
              <w:bottom w:val="single" w:sz="4" w:space="0" w:color="auto"/>
              <w:right w:val="single" w:sz="4" w:space="0" w:color="auto"/>
            </w:tcBorders>
          </w:tcPr>
          <w:p w:rsidR="00033301" w:rsidRPr="00E47E40" w:rsidRDefault="00033301" w:rsidP="00260FC5">
            <w:pPr>
              <w:jc w:val="center"/>
              <w:rPr>
                <w:rFonts w:ascii="Arial" w:hAnsi="Arial" w:cs="Arial"/>
                <w:b/>
                <w:bCs/>
                <w:sz w:val="14"/>
                <w:szCs w:val="14"/>
              </w:rPr>
            </w:pPr>
            <w:r w:rsidRPr="00E47E40">
              <w:rPr>
                <w:rFonts w:ascii="Arial" w:hAnsi="Arial" w:cs="Arial"/>
                <w:b/>
                <w:bCs/>
                <w:sz w:val="14"/>
                <w:szCs w:val="14"/>
              </w:rPr>
              <w:t>101,7</w:t>
            </w:r>
          </w:p>
        </w:tc>
      </w:tr>
      <w:tr w:rsidR="00033301" w:rsidRPr="00F55F83" w:rsidTr="00260FC5">
        <w:trPr>
          <w:trHeight w:val="185"/>
        </w:trPr>
        <w:tc>
          <w:tcPr>
            <w:tcW w:w="341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r w:rsidRPr="00E47E40">
              <w:rPr>
                <w:rFonts w:ascii="Arial" w:hAnsi="Arial" w:cs="Arial"/>
                <w:sz w:val="14"/>
                <w:szCs w:val="14"/>
              </w:rPr>
              <w:t>В том числе по видам экономической деятельности</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000000"/>
              <w:right w:val="nil"/>
            </w:tcBorders>
            <w:shd w:val="clear" w:color="auto" w:fill="auto"/>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nil"/>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E47E40" w:rsidRDefault="00033301" w:rsidP="00260FC5">
            <w:pPr>
              <w:jc w:val="center"/>
              <w:rPr>
                <w:rFonts w:ascii="Arial" w:hAnsi="Arial" w:cs="Arial"/>
                <w:b/>
                <w:bCs/>
                <w:sz w:val="14"/>
                <w:szCs w:val="14"/>
              </w:rPr>
            </w:pPr>
          </w:p>
        </w:tc>
        <w:tc>
          <w:tcPr>
            <w:tcW w:w="567" w:type="dxa"/>
            <w:tcBorders>
              <w:top w:val="single" w:sz="4" w:space="0" w:color="auto"/>
              <w:left w:val="nil"/>
              <w:bottom w:val="single" w:sz="4" w:space="0" w:color="auto"/>
              <w:right w:val="single" w:sz="4" w:space="0" w:color="auto"/>
            </w:tcBorders>
          </w:tcPr>
          <w:p w:rsidR="00033301" w:rsidRPr="00E47E40" w:rsidRDefault="00033301" w:rsidP="00260FC5">
            <w:pPr>
              <w:jc w:val="center"/>
              <w:rPr>
                <w:rFonts w:ascii="Arial" w:hAnsi="Arial" w:cs="Arial"/>
                <w:b/>
                <w:bCs/>
                <w:sz w:val="14"/>
                <w:szCs w:val="14"/>
              </w:rPr>
            </w:pPr>
          </w:p>
        </w:tc>
      </w:tr>
      <w:tr w:rsidR="00033301" w:rsidRPr="00F55F83" w:rsidTr="00260FC5">
        <w:trPr>
          <w:trHeight w:val="185"/>
        </w:trPr>
        <w:tc>
          <w:tcPr>
            <w:tcW w:w="3417" w:type="dxa"/>
            <w:tcBorders>
              <w:top w:val="nil"/>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r w:rsidRPr="00E47E40">
              <w:rPr>
                <w:rFonts w:ascii="Arial" w:hAnsi="Arial" w:cs="Arial"/>
                <w:sz w:val="14"/>
                <w:szCs w:val="14"/>
              </w:rPr>
              <w:t>добыча полезных ископаемых</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106,8</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101,4</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102,8</w:t>
            </w:r>
          </w:p>
        </w:tc>
        <w:tc>
          <w:tcPr>
            <w:tcW w:w="567" w:type="dxa"/>
            <w:tcBorders>
              <w:top w:val="nil"/>
              <w:left w:val="nil"/>
              <w:bottom w:val="single" w:sz="4" w:space="0" w:color="000000"/>
              <w:right w:val="nil"/>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103,3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100,4</w:t>
            </w:r>
          </w:p>
        </w:tc>
        <w:tc>
          <w:tcPr>
            <w:tcW w:w="567" w:type="dxa"/>
            <w:tcBorders>
              <w:top w:val="nil"/>
              <w:left w:val="nil"/>
              <w:bottom w:val="single" w:sz="4" w:space="0" w:color="auto"/>
              <w:right w:val="nil"/>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97,2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103,8</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101,8</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101,0</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101,1</w:t>
            </w:r>
          </w:p>
        </w:tc>
        <w:tc>
          <w:tcPr>
            <w:tcW w:w="567" w:type="dxa"/>
            <w:tcBorders>
              <w:top w:val="nil"/>
              <w:left w:val="nil"/>
              <w:bottom w:val="single" w:sz="4" w:space="0" w:color="auto"/>
              <w:right w:val="single" w:sz="4" w:space="0" w:color="auto"/>
            </w:tcBorders>
            <w:vAlign w:val="bottom"/>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101,4</w:t>
            </w:r>
          </w:p>
        </w:tc>
      </w:tr>
      <w:tr w:rsidR="00033301" w:rsidRPr="00F55F83" w:rsidTr="00260FC5">
        <w:trPr>
          <w:trHeight w:val="185"/>
        </w:trPr>
        <w:tc>
          <w:tcPr>
            <w:tcW w:w="3417" w:type="dxa"/>
            <w:tcBorders>
              <w:top w:val="nil"/>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r w:rsidRPr="00E47E40">
              <w:rPr>
                <w:rFonts w:ascii="Arial" w:hAnsi="Arial" w:cs="Arial"/>
                <w:sz w:val="14"/>
                <w:szCs w:val="14"/>
              </w:rPr>
              <w:t>обрабатывающие производства</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110,5</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107,6</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108,4</w:t>
            </w:r>
          </w:p>
        </w:tc>
        <w:tc>
          <w:tcPr>
            <w:tcW w:w="567" w:type="dxa"/>
            <w:tcBorders>
              <w:top w:val="nil"/>
              <w:left w:val="nil"/>
              <w:bottom w:val="single" w:sz="4" w:space="0" w:color="000000"/>
              <w:right w:val="nil"/>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110,5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100,5</w:t>
            </w:r>
          </w:p>
        </w:tc>
        <w:tc>
          <w:tcPr>
            <w:tcW w:w="567" w:type="dxa"/>
            <w:tcBorders>
              <w:top w:val="nil"/>
              <w:left w:val="nil"/>
              <w:bottom w:val="single" w:sz="4" w:space="0" w:color="auto"/>
              <w:right w:val="nil"/>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84,8</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110,6</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108,0</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105,1</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100,5</w:t>
            </w:r>
          </w:p>
        </w:tc>
        <w:tc>
          <w:tcPr>
            <w:tcW w:w="567" w:type="dxa"/>
            <w:tcBorders>
              <w:top w:val="nil"/>
              <w:left w:val="nil"/>
              <w:bottom w:val="single" w:sz="4" w:space="0" w:color="auto"/>
              <w:right w:val="single" w:sz="4" w:space="0" w:color="auto"/>
            </w:tcBorders>
            <w:vAlign w:val="bottom"/>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102,1</w:t>
            </w:r>
          </w:p>
        </w:tc>
      </w:tr>
      <w:tr w:rsidR="00033301" w:rsidRPr="00F55F83" w:rsidTr="00260FC5">
        <w:trPr>
          <w:trHeight w:val="118"/>
        </w:trPr>
        <w:tc>
          <w:tcPr>
            <w:tcW w:w="3417" w:type="dxa"/>
            <w:tcBorders>
              <w:top w:val="nil"/>
              <w:left w:val="single" w:sz="4" w:space="0" w:color="000000"/>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rPr>
                <w:rFonts w:ascii="Arial" w:hAnsi="Arial" w:cs="Arial"/>
                <w:sz w:val="14"/>
                <w:szCs w:val="14"/>
              </w:rPr>
            </w:pPr>
            <w:r w:rsidRPr="00E47E40">
              <w:rPr>
                <w:rFonts w:ascii="Arial" w:hAnsi="Arial" w:cs="Arial"/>
                <w:sz w:val="14"/>
                <w:szCs w:val="14"/>
              </w:rPr>
              <w:t>производство и распределение электроэнергии, газа и воды</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101,1</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100,9</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103,4</w:t>
            </w:r>
          </w:p>
        </w:tc>
        <w:tc>
          <w:tcPr>
            <w:tcW w:w="567" w:type="dxa"/>
            <w:tcBorders>
              <w:top w:val="nil"/>
              <w:left w:val="nil"/>
              <w:bottom w:val="single" w:sz="4" w:space="0" w:color="000000"/>
              <w:right w:val="nil"/>
            </w:tcBorders>
            <w:shd w:val="clear" w:color="auto" w:fill="auto"/>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99,4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100,6</w:t>
            </w:r>
          </w:p>
        </w:tc>
        <w:tc>
          <w:tcPr>
            <w:tcW w:w="567" w:type="dxa"/>
            <w:tcBorders>
              <w:top w:val="nil"/>
              <w:left w:val="nil"/>
              <w:bottom w:val="single" w:sz="4" w:space="0" w:color="auto"/>
              <w:right w:val="nil"/>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97,3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102,2</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100,2</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101,3</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97,5</w:t>
            </w:r>
          </w:p>
        </w:tc>
        <w:tc>
          <w:tcPr>
            <w:tcW w:w="567" w:type="dxa"/>
            <w:tcBorders>
              <w:top w:val="nil"/>
              <w:left w:val="nil"/>
              <w:bottom w:val="single" w:sz="4" w:space="0" w:color="auto"/>
              <w:right w:val="single" w:sz="4" w:space="0" w:color="auto"/>
            </w:tcBorders>
            <w:vAlign w:val="bottom"/>
          </w:tcPr>
          <w:p w:rsidR="00033301" w:rsidRPr="00E47E40" w:rsidRDefault="00033301" w:rsidP="00260FC5">
            <w:pPr>
              <w:spacing w:after="0" w:line="240" w:lineRule="auto"/>
              <w:jc w:val="right"/>
              <w:rPr>
                <w:rFonts w:ascii="Arial" w:hAnsi="Arial" w:cs="Arial"/>
                <w:color w:val="000000"/>
                <w:sz w:val="14"/>
                <w:szCs w:val="14"/>
              </w:rPr>
            </w:pPr>
            <w:r w:rsidRPr="00E47E40">
              <w:rPr>
                <w:rFonts w:ascii="Arial" w:hAnsi="Arial" w:cs="Arial"/>
                <w:color w:val="000000"/>
                <w:sz w:val="14"/>
                <w:szCs w:val="14"/>
              </w:rPr>
              <w:t>99,9</w:t>
            </w:r>
          </w:p>
        </w:tc>
      </w:tr>
    </w:tbl>
    <w:p w:rsidR="00033301" w:rsidRPr="00E47E40" w:rsidRDefault="00033301" w:rsidP="00033301">
      <w:pPr>
        <w:pStyle w:val="normal"/>
        <w:tabs>
          <w:tab w:val="left" w:pos="3645"/>
          <w:tab w:val="left" w:pos="8685"/>
        </w:tabs>
        <w:spacing w:line="240" w:lineRule="auto"/>
        <w:rPr>
          <w:lang w:val="en-US"/>
        </w:rPr>
      </w:pPr>
      <w:r w:rsidRPr="00F55F83">
        <w:rPr>
          <w:sz w:val="24"/>
          <w:szCs w:val="24"/>
        </w:rPr>
        <w:t>* таблица рассчитана и составлена автором на основе данных</w:t>
      </w:r>
      <w:r>
        <w:rPr>
          <w:sz w:val="24"/>
          <w:szCs w:val="24"/>
        </w:rPr>
        <w:t xml:space="preserve">: </w:t>
      </w:r>
      <w:r w:rsidRPr="00E47E40">
        <w:rPr>
          <w:sz w:val="24"/>
          <w:szCs w:val="24"/>
        </w:rPr>
        <w:t>Индексы производства по видам экономической деятельности Российской Федерации</w:t>
      </w:r>
      <w:r>
        <w:rPr>
          <w:sz w:val="24"/>
          <w:szCs w:val="24"/>
        </w:rPr>
        <w:t xml:space="preserve">. </w:t>
      </w:r>
      <w:r w:rsidRPr="00E47E40">
        <w:rPr>
          <w:sz w:val="24"/>
          <w:szCs w:val="24"/>
          <w:lang w:val="en-US"/>
        </w:rPr>
        <w:t>U</w:t>
      </w:r>
      <w:r>
        <w:rPr>
          <w:sz w:val="24"/>
          <w:szCs w:val="24"/>
          <w:lang w:val="en-US"/>
        </w:rPr>
        <w:t xml:space="preserve">RL: </w:t>
      </w:r>
      <w:r w:rsidRPr="00E47E40">
        <w:rPr>
          <w:sz w:val="24"/>
          <w:szCs w:val="24"/>
          <w:lang w:val="en-US"/>
        </w:rPr>
        <w:t>http://www.gks.ru/free_doc/new_site/business/prom/ind_prom_okved.xls</w:t>
      </w:r>
    </w:p>
    <w:p w:rsidR="00033301" w:rsidRPr="00F55BE5" w:rsidRDefault="00033301" w:rsidP="00033301">
      <w:pPr>
        <w:pStyle w:val="normal"/>
        <w:tabs>
          <w:tab w:val="left" w:pos="3645"/>
          <w:tab w:val="left" w:pos="8685"/>
        </w:tabs>
        <w:spacing w:line="240" w:lineRule="auto"/>
        <w:rPr>
          <w:lang w:val="en-US"/>
        </w:rPr>
      </w:pPr>
    </w:p>
    <w:p w:rsidR="00260FC5" w:rsidRDefault="00033301" w:rsidP="00260FC5">
      <w:pPr>
        <w:pStyle w:val="normal"/>
        <w:tabs>
          <w:tab w:val="left" w:pos="3645"/>
          <w:tab w:val="left" w:pos="8685"/>
        </w:tabs>
      </w:pPr>
      <w:r w:rsidRPr="00F26F89">
        <w:rPr>
          <w:lang w:val="en-US"/>
        </w:rPr>
        <w:t xml:space="preserve">      </w:t>
      </w:r>
      <w:r>
        <w:t>Ещё более прискорбная ситуация имеет место при анализе показателя производительность труда, здесь он в 2013 году, как по добычи полезных показателей, так и по производству и распределения электроэнергии, газа и воды был отрицательным, и согласно расчетным показателям авторов работы в 2014 году лишь ухудшился</w:t>
      </w:r>
      <w:r w:rsidR="00260FC5">
        <w:t xml:space="preserve"> (см. таблица 2.4)</w:t>
      </w:r>
      <w:r>
        <w:t>.</w:t>
      </w:r>
      <w:r w:rsidR="00260FC5">
        <w:t xml:space="preserve"> </w:t>
      </w:r>
    </w:p>
    <w:p w:rsidR="00260FC5" w:rsidRDefault="00260FC5" w:rsidP="00260FC5">
      <w:pPr>
        <w:pStyle w:val="normal"/>
        <w:tabs>
          <w:tab w:val="left" w:pos="3645"/>
          <w:tab w:val="left" w:pos="8685"/>
        </w:tabs>
        <w:spacing w:line="240" w:lineRule="auto"/>
        <w:jc w:val="right"/>
      </w:pPr>
      <w:r>
        <w:t xml:space="preserve">Таблица 2.4 </w:t>
      </w:r>
    </w:p>
    <w:p w:rsidR="00260FC5" w:rsidRDefault="00260FC5" w:rsidP="00260FC5">
      <w:pPr>
        <w:pStyle w:val="normal"/>
        <w:tabs>
          <w:tab w:val="left" w:pos="3645"/>
          <w:tab w:val="left" w:pos="8685"/>
        </w:tabs>
        <w:spacing w:line="240" w:lineRule="auto"/>
        <w:jc w:val="center"/>
      </w:pPr>
      <w:r>
        <w:t>Индексы производительности труда</w:t>
      </w:r>
      <w:r w:rsidRPr="00B248CA">
        <w:t xml:space="preserve"> </w:t>
      </w:r>
      <w:r>
        <w:t>по экономике и основным отраслям промышленности*</w:t>
      </w:r>
    </w:p>
    <w:tbl>
      <w:tblPr>
        <w:tblW w:w="9796" w:type="dxa"/>
        <w:tblInd w:w="93"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17"/>
        <w:gridCol w:w="567"/>
        <w:gridCol w:w="567"/>
        <w:gridCol w:w="567"/>
        <w:gridCol w:w="567"/>
        <w:gridCol w:w="567"/>
        <w:gridCol w:w="567"/>
        <w:gridCol w:w="567"/>
        <w:gridCol w:w="567"/>
        <w:gridCol w:w="567"/>
        <w:gridCol w:w="567"/>
        <w:gridCol w:w="709"/>
      </w:tblGrid>
      <w:tr w:rsidR="00260FC5" w:rsidRPr="00F55F83" w:rsidTr="00260FC5">
        <w:trPr>
          <w:trHeight w:val="185"/>
        </w:trPr>
        <w:tc>
          <w:tcPr>
            <w:tcW w:w="3417" w:type="dxa"/>
            <w:shd w:val="clear" w:color="auto" w:fill="auto"/>
            <w:vAlign w:val="bottom"/>
            <w:hideMark/>
          </w:tcPr>
          <w:p w:rsidR="00260FC5" w:rsidRPr="00F55F83" w:rsidRDefault="00260FC5" w:rsidP="00260FC5">
            <w:pPr>
              <w:spacing w:after="0" w:line="240" w:lineRule="auto"/>
              <w:rPr>
                <w:rFonts w:ascii="Arial" w:hAnsi="Arial" w:cs="Arial"/>
                <w:sz w:val="14"/>
                <w:szCs w:val="14"/>
              </w:rPr>
            </w:pPr>
          </w:p>
        </w:tc>
        <w:tc>
          <w:tcPr>
            <w:tcW w:w="567" w:type="dxa"/>
            <w:shd w:val="clear" w:color="auto" w:fill="auto"/>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2004</w:t>
            </w:r>
          </w:p>
        </w:tc>
        <w:tc>
          <w:tcPr>
            <w:tcW w:w="567" w:type="dxa"/>
            <w:shd w:val="clear" w:color="auto" w:fill="auto"/>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2005</w:t>
            </w:r>
          </w:p>
        </w:tc>
        <w:tc>
          <w:tcPr>
            <w:tcW w:w="567" w:type="dxa"/>
            <w:shd w:val="clear" w:color="auto" w:fill="auto"/>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2006</w:t>
            </w:r>
          </w:p>
        </w:tc>
        <w:tc>
          <w:tcPr>
            <w:tcW w:w="567" w:type="dxa"/>
            <w:shd w:val="clear" w:color="auto" w:fill="auto"/>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2007</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2008</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2009</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2010</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2011</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2012</w:t>
            </w:r>
          </w:p>
        </w:tc>
        <w:tc>
          <w:tcPr>
            <w:tcW w:w="567" w:type="dxa"/>
            <w:shd w:val="clear" w:color="auto" w:fill="auto"/>
            <w:noWrap/>
            <w:vAlign w:val="bottom"/>
            <w:hideMark/>
          </w:tcPr>
          <w:p w:rsidR="00260FC5" w:rsidRPr="00F55F83" w:rsidRDefault="00260FC5" w:rsidP="00260FC5">
            <w:pPr>
              <w:jc w:val="center"/>
              <w:rPr>
                <w:rFonts w:ascii="Arial" w:hAnsi="Arial" w:cs="Arial"/>
                <w:b/>
                <w:bCs/>
                <w:sz w:val="14"/>
                <w:szCs w:val="14"/>
              </w:rPr>
            </w:pPr>
            <w:r>
              <w:rPr>
                <w:rFonts w:ascii="Arial" w:hAnsi="Arial" w:cs="Arial"/>
                <w:b/>
                <w:bCs/>
                <w:sz w:val="14"/>
                <w:szCs w:val="14"/>
              </w:rPr>
              <w:t>2013</w:t>
            </w:r>
          </w:p>
        </w:tc>
        <w:tc>
          <w:tcPr>
            <w:tcW w:w="709" w:type="dxa"/>
          </w:tcPr>
          <w:p w:rsidR="00260FC5" w:rsidRDefault="00260FC5" w:rsidP="00260FC5">
            <w:pPr>
              <w:jc w:val="center"/>
              <w:rPr>
                <w:rFonts w:ascii="Arial" w:hAnsi="Arial" w:cs="Arial"/>
                <w:b/>
                <w:bCs/>
                <w:sz w:val="14"/>
                <w:szCs w:val="14"/>
              </w:rPr>
            </w:pPr>
            <w:r>
              <w:rPr>
                <w:rFonts w:ascii="Arial" w:hAnsi="Arial" w:cs="Arial"/>
                <w:b/>
                <w:bCs/>
                <w:sz w:val="14"/>
                <w:szCs w:val="14"/>
              </w:rPr>
              <w:t>2014</w:t>
            </w:r>
          </w:p>
        </w:tc>
      </w:tr>
      <w:tr w:rsidR="00260FC5" w:rsidRPr="00F55F83" w:rsidTr="00260FC5">
        <w:trPr>
          <w:trHeight w:val="185"/>
        </w:trPr>
        <w:tc>
          <w:tcPr>
            <w:tcW w:w="3417" w:type="dxa"/>
            <w:shd w:val="clear" w:color="auto" w:fill="auto"/>
            <w:vAlign w:val="bottom"/>
            <w:hideMark/>
          </w:tcPr>
          <w:p w:rsidR="00260FC5" w:rsidRPr="00F55F83" w:rsidRDefault="00260FC5" w:rsidP="00260FC5">
            <w:pPr>
              <w:spacing w:after="0" w:line="240" w:lineRule="auto"/>
              <w:rPr>
                <w:rFonts w:ascii="Arial" w:hAnsi="Arial" w:cs="Arial"/>
                <w:b/>
                <w:bCs/>
                <w:sz w:val="14"/>
                <w:szCs w:val="14"/>
              </w:rPr>
            </w:pPr>
            <w:r>
              <w:rPr>
                <w:rFonts w:ascii="Arial" w:hAnsi="Arial" w:cs="Arial"/>
                <w:b/>
                <w:bCs/>
                <w:sz w:val="14"/>
                <w:szCs w:val="14"/>
              </w:rPr>
              <w:t>В целом по экономике</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106,5</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105,5</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107,5</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107,5</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104,8</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95,9</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103,2</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b/>
                <w:bCs/>
                <w:sz w:val="14"/>
                <w:szCs w:val="14"/>
              </w:rPr>
            </w:pPr>
            <w:r w:rsidRPr="00B248CA">
              <w:rPr>
                <w:rFonts w:ascii="Arial Cyr" w:hAnsi="Arial Cyr"/>
                <w:b/>
                <w:bCs/>
                <w:sz w:val="14"/>
                <w:szCs w:val="14"/>
              </w:rPr>
              <w:t>103,8</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b/>
                <w:bCs/>
                <w:sz w:val="14"/>
                <w:szCs w:val="14"/>
              </w:rPr>
            </w:pPr>
            <w:r w:rsidRPr="00B248CA">
              <w:rPr>
                <w:rFonts w:ascii="Arial Cyr" w:hAnsi="Arial Cyr"/>
                <w:b/>
                <w:bCs/>
                <w:sz w:val="14"/>
                <w:szCs w:val="14"/>
              </w:rPr>
              <w:t>103,0</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b/>
                <w:bCs/>
                <w:sz w:val="14"/>
                <w:szCs w:val="14"/>
              </w:rPr>
            </w:pPr>
            <w:r w:rsidRPr="00B248CA">
              <w:rPr>
                <w:rFonts w:ascii="Arial Cyr" w:hAnsi="Arial Cyr"/>
                <w:b/>
                <w:bCs/>
                <w:sz w:val="14"/>
                <w:szCs w:val="14"/>
              </w:rPr>
              <w:t>101,9</w:t>
            </w:r>
          </w:p>
        </w:tc>
        <w:tc>
          <w:tcPr>
            <w:tcW w:w="709" w:type="dxa"/>
          </w:tcPr>
          <w:p w:rsidR="00260FC5" w:rsidRPr="00413E40" w:rsidRDefault="00260FC5" w:rsidP="00260FC5">
            <w:pPr>
              <w:spacing w:after="0" w:line="240" w:lineRule="auto"/>
              <w:jc w:val="center"/>
              <w:rPr>
                <w:b/>
                <w:bCs/>
                <w:sz w:val="14"/>
                <w:szCs w:val="14"/>
              </w:rPr>
            </w:pPr>
            <w:r>
              <w:rPr>
                <w:b/>
                <w:bCs/>
                <w:sz w:val="14"/>
                <w:szCs w:val="14"/>
              </w:rPr>
              <w:t>101,1**</w:t>
            </w:r>
          </w:p>
        </w:tc>
      </w:tr>
      <w:tr w:rsidR="00260FC5" w:rsidRPr="00F55F83" w:rsidTr="00260FC5">
        <w:trPr>
          <w:trHeight w:val="185"/>
        </w:trPr>
        <w:tc>
          <w:tcPr>
            <w:tcW w:w="3417" w:type="dxa"/>
            <w:shd w:val="clear" w:color="auto" w:fill="auto"/>
            <w:vAlign w:val="bottom"/>
            <w:hideMark/>
          </w:tcPr>
          <w:p w:rsidR="00260FC5" w:rsidRPr="00F55F83" w:rsidRDefault="00260FC5" w:rsidP="00260FC5">
            <w:pPr>
              <w:spacing w:after="0" w:line="240" w:lineRule="auto"/>
              <w:rPr>
                <w:rFonts w:ascii="Arial" w:hAnsi="Arial" w:cs="Arial"/>
                <w:sz w:val="14"/>
                <w:szCs w:val="14"/>
              </w:rPr>
            </w:pPr>
            <w:r w:rsidRPr="00F55F83">
              <w:rPr>
                <w:rFonts w:ascii="Arial" w:hAnsi="Arial" w:cs="Arial"/>
                <w:sz w:val="14"/>
                <w:szCs w:val="14"/>
              </w:rPr>
              <w:t>в том числе по видам экономической деятельности:</w:t>
            </w:r>
          </w:p>
        </w:tc>
        <w:tc>
          <w:tcPr>
            <w:tcW w:w="567" w:type="dxa"/>
            <w:shd w:val="clear" w:color="auto" w:fill="auto"/>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jc w:val="right"/>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rPr>
                <w:rFonts w:ascii="Arial" w:hAnsi="Arial" w:cs="Arial"/>
                <w:b/>
                <w:bCs/>
                <w:sz w:val="14"/>
                <w:szCs w:val="14"/>
              </w:rPr>
            </w:pPr>
          </w:p>
        </w:tc>
        <w:tc>
          <w:tcPr>
            <w:tcW w:w="567" w:type="dxa"/>
            <w:shd w:val="clear" w:color="auto" w:fill="auto"/>
            <w:noWrap/>
            <w:vAlign w:val="bottom"/>
            <w:hideMark/>
          </w:tcPr>
          <w:p w:rsidR="00260FC5" w:rsidRPr="00F55F83" w:rsidRDefault="00260FC5" w:rsidP="00260FC5">
            <w:pPr>
              <w:rPr>
                <w:rFonts w:ascii="Arial" w:hAnsi="Arial" w:cs="Arial"/>
                <w:b/>
                <w:bCs/>
                <w:sz w:val="14"/>
                <w:szCs w:val="14"/>
              </w:rPr>
            </w:pPr>
          </w:p>
        </w:tc>
        <w:tc>
          <w:tcPr>
            <w:tcW w:w="709" w:type="dxa"/>
          </w:tcPr>
          <w:p w:rsidR="00260FC5" w:rsidRPr="00F55F83" w:rsidRDefault="00260FC5" w:rsidP="00260FC5">
            <w:pPr>
              <w:rPr>
                <w:rFonts w:ascii="Arial" w:hAnsi="Arial" w:cs="Arial"/>
                <w:b/>
                <w:bCs/>
                <w:sz w:val="14"/>
                <w:szCs w:val="14"/>
              </w:rPr>
            </w:pPr>
          </w:p>
        </w:tc>
      </w:tr>
      <w:tr w:rsidR="00260FC5" w:rsidRPr="00F55F83" w:rsidTr="00260FC5">
        <w:trPr>
          <w:trHeight w:val="185"/>
        </w:trPr>
        <w:tc>
          <w:tcPr>
            <w:tcW w:w="3417" w:type="dxa"/>
            <w:shd w:val="clear" w:color="auto" w:fill="auto"/>
            <w:vAlign w:val="bottom"/>
            <w:hideMark/>
          </w:tcPr>
          <w:p w:rsidR="00260FC5" w:rsidRPr="00F55F83" w:rsidRDefault="00260FC5" w:rsidP="00260FC5">
            <w:pPr>
              <w:spacing w:after="0" w:line="240" w:lineRule="auto"/>
              <w:rPr>
                <w:rFonts w:ascii="Arial" w:hAnsi="Arial" w:cs="Arial"/>
                <w:sz w:val="14"/>
                <w:szCs w:val="14"/>
              </w:rPr>
            </w:pPr>
            <w:r w:rsidRPr="00F55F83">
              <w:rPr>
                <w:rFonts w:ascii="Arial" w:hAnsi="Arial" w:cs="Arial"/>
                <w:sz w:val="14"/>
                <w:szCs w:val="14"/>
              </w:rPr>
              <w:t>добыча полезных ископаемых</w:t>
            </w:r>
          </w:p>
        </w:tc>
        <w:tc>
          <w:tcPr>
            <w:tcW w:w="567" w:type="dxa"/>
            <w:shd w:val="clear" w:color="auto" w:fill="auto"/>
            <w:vAlign w:val="bottom"/>
            <w:hideMark/>
          </w:tcPr>
          <w:p w:rsidR="00260FC5" w:rsidRPr="00B248CA" w:rsidRDefault="00260FC5" w:rsidP="00260FC5">
            <w:pPr>
              <w:spacing w:after="0" w:line="240" w:lineRule="auto"/>
              <w:jc w:val="right"/>
              <w:rPr>
                <w:rFonts w:ascii="Arial" w:hAnsi="Arial" w:cs="Arial"/>
                <w:sz w:val="14"/>
                <w:szCs w:val="14"/>
              </w:rPr>
            </w:pPr>
            <w:r w:rsidRPr="00B248CA">
              <w:rPr>
                <w:rFonts w:ascii="Arial" w:hAnsi="Arial" w:cs="Arial"/>
                <w:sz w:val="14"/>
                <w:szCs w:val="14"/>
              </w:rPr>
              <w:t>107,3</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106,3</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103,3</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103,1</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100,9</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108,5</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104,3</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102,7</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100,0</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96,9</w:t>
            </w:r>
          </w:p>
        </w:tc>
        <w:tc>
          <w:tcPr>
            <w:tcW w:w="709" w:type="dxa"/>
          </w:tcPr>
          <w:p w:rsidR="00260FC5" w:rsidRPr="00413E40" w:rsidRDefault="00260FC5" w:rsidP="00260FC5">
            <w:pPr>
              <w:spacing w:after="0" w:line="240" w:lineRule="auto"/>
              <w:jc w:val="center"/>
              <w:rPr>
                <w:sz w:val="14"/>
                <w:szCs w:val="14"/>
              </w:rPr>
            </w:pPr>
            <w:r>
              <w:rPr>
                <w:sz w:val="14"/>
                <w:szCs w:val="14"/>
              </w:rPr>
              <w:t>96,7**</w:t>
            </w:r>
          </w:p>
        </w:tc>
      </w:tr>
      <w:tr w:rsidR="00260FC5" w:rsidRPr="00F55F83" w:rsidTr="00260FC5">
        <w:trPr>
          <w:trHeight w:val="185"/>
        </w:trPr>
        <w:tc>
          <w:tcPr>
            <w:tcW w:w="3417" w:type="dxa"/>
            <w:shd w:val="clear" w:color="auto" w:fill="auto"/>
            <w:vAlign w:val="bottom"/>
            <w:hideMark/>
          </w:tcPr>
          <w:p w:rsidR="00260FC5" w:rsidRPr="00F55F83" w:rsidRDefault="00260FC5" w:rsidP="00260FC5">
            <w:pPr>
              <w:spacing w:after="0" w:line="240" w:lineRule="auto"/>
              <w:rPr>
                <w:rFonts w:ascii="Arial" w:hAnsi="Arial" w:cs="Arial"/>
                <w:sz w:val="14"/>
                <w:szCs w:val="14"/>
              </w:rPr>
            </w:pPr>
            <w:r w:rsidRPr="00F55F83">
              <w:rPr>
                <w:rFonts w:ascii="Arial" w:hAnsi="Arial" w:cs="Arial"/>
                <w:sz w:val="14"/>
                <w:szCs w:val="14"/>
              </w:rPr>
              <w:t>обрабатывающие производства</w:t>
            </w:r>
          </w:p>
        </w:tc>
        <w:tc>
          <w:tcPr>
            <w:tcW w:w="567" w:type="dxa"/>
            <w:shd w:val="clear" w:color="auto" w:fill="auto"/>
            <w:vAlign w:val="bottom"/>
            <w:hideMark/>
          </w:tcPr>
          <w:p w:rsidR="00260FC5" w:rsidRPr="00B248CA" w:rsidRDefault="00260FC5" w:rsidP="00260FC5">
            <w:pPr>
              <w:spacing w:after="0" w:line="240" w:lineRule="auto"/>
              <w:jc w:val="right"/>
              <w:rPr>
                <w:rFonts w:ascii="Arial" w:hAnsi="Arial" w:cs="Arial"/>
                <w:sz w:val="14"/>
                <w:szCs w:val="14"/>
              </w:rPr>
            </w:pPr>
            <w:r w:rsidRPr="00B248CA">
              <w:rPr>
                <w:rFonts w:ascii="Arial" w:hAnsi="Arial" w:cs="Arial"/>
                <w:sz w:val="14"/>
                <w:szCs w:val="14"/>
              </w:rPr>
              <w:t>109,8</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106,0</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108,5</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108,4</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102,6</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95,9</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105,2</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105,6</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103,1</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105,5</w:t>
            </w:r>
          </w:p>
        </w:tc>
        <w:tc>
          <w:tcPr>
            <w:tcW w:w="709" w:type="dxa"/>
          </w:tcPr>
          <w:p w:rsidR="00260FC5" w:rsidRPr="00413E40" w:rsidRDefault="00260FC5" w:rsidP="00260FC5">
            <w:pPr>
              <w:spacing w:after="0" w:line="240" w:lineRule="auto"/>
              <w:jc w:val="center"/>
              <w:rPr>
                <w:sz w:val="14"/>
                <w:szCs w:val="14"/>
              </w:rPr>
            </w:pPr>
            <w:r>
              <w:rPr>
                <w:sz w:val="14"/>
                <w:szCs w:val="14"/>
              </w:rPr>
              <w:t>105,3**</w:t>
            </w:r>
          </w:p>
        </w:tc>
      </w:tr>
      <w:tr w:rsidR="00260FC5" w:rsidRPr="00F55F83" w:rsidTr="00260FC5">
        <w:trPr>
          <w:trHeight w:val="118"/>
        </w:trPr>
        <w:tc>
          <w:tcPr>
            <w:tcW w:w="3417" w:type="dxa"/>
            <w:shd w:val="clear" w:color="auto" w:fill="auto"/>
            <w:vAlign w:val="bottom"/>
            <w:hideMark/>
          </w:tcPr>
          <w:p w:rsidR="00260FC5" w:rsidRPr="00F55F83" w:rsidRDefault="00260FC5" w:rsidP="00260FC5">
            <w:pPr>
              <w:spacing w:after="0" w:line="240" w:lineRule="auto"/>
              <w:rPr>
                <w:rFonts w:ascii="Arial" w:hAnsi="Arial" w:cs="Arial"/>
                <w:sz w:val="14"/>
                <w:szCs w:val="14"/>
              </w:rPr>
            </w:pPr>
            <w:r w:rsidRPr="00F55F83">
              <w:rPr>
                <w:rFonts w:ascii="Arial" w:hAnsi="Arial" w:cs="Arial"/>
                <w:sz w:val="14"/>
                <w:szCs w:val="14"/>
              </w:rPr>
              <w:t>производство и распределение электроэнергии, газа и воды</w:t>
            </w:r>
          </w:p>
        </w:tc>
        <w:tc>
          <w:tcPr>
            <w:tcW w:w="567" w:type="dxa"/>
            <w:shd w:val="clear" w:color="auto" w:fill="auto"/>
            <w:vAlign w:val="bottom"/>
            <w:hideMark/>
          </w:tcPr>
          <w:p w:rsidR="00260FC5" w:rsidRPr="00B248CA" w:rsidRDefault="00260FC5" w:rsidP="00260FC5">
            <w:pPr>
              <w:spacing w:after="0" w:line="240" w:lineRule="auto"/>
              <w:jc w:val="right"/>
              <w:rPr>
                <w:rFonts w:ascii="Arial" w:hAnsi="Arial" w:cs="Arial"/>
                <w:sz w:val="14"/>
                <w:szCs w:val="14"/>
              </w:rPr>
            </w:pPr>
            <w:r w:rsidRPr="00B248CA">
              <w:rPr>
                <w:rFonts w:ascii="Arial" w:hAnsi="Arial" w:cs="Arial"/>
                <w:sz w:val="14"/>
                <w:szCs w:val="14"/>
              </w:rPr>
              <w:t>100,7</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103,7</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101,9</w:t>
            </w:r>
          </w:p>
        </w:tc>
        <w:tc>
          <w:tcPr>
            <w:tcW w:w="567" w:type="dxa"/>
            <w:shd w:val="clear" w:color="auto" w:fill="auto"/>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97,5</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102,1</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96,3</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103,0</w:t>
            </w:r>
          </w:p>
        </w:tc>
        <w:tc>
          <w:tcPr>
            <w:tcW w:w="567" w:type="dxa"/>
            <w:shd w:val="clear" w:color="auto" w:fill="auto"/>
            <w:noWrap/>
            <w:vAlign w:val="bottom"/>
            <w:hideMark/>
          </w:tcPr>
          <w:p w:rsidR="00260FC5" w:rsidRPr="00B248CA" w:rsidRDefault="00260FC5" w:rsidP="00260FC5">
            <w:pPr>
              <w:spacing w:after="0" w:line="240" w:lineRule="auto"/>
              <w:jc w:val="right"/>
              <w:rPr>
                <w:rFonts w:ascii="Arial Cyr" w:hAnsi="Arial Cyr"/>
                <w:sz w:val="14"/>
                <w:szCs w:val="14"/>
              </w:rPr>
            </w:pPr>
            <w:r w:rsidRPr="00B248CA">
              <w:rPr>
                <w:rFonts w:ascii="Arial Cyr" w:hAnsi="Arial Cyr"/>
                <w:sz w:val="14"/>
                <w:szCs w:val="14"/>
              </w:rPr>
              <w:t>99,8</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100,8</w:t>
            </w:r>
          </w:p>
        </w:tc>
        <w:tc>
          <w:tcPr>
            <w:tcW w:w="567" w:type="dxa"/>
            <w:shd w:val="clear" w:color="auto" w:fill="auto"/>
            <w:noWrap/>
            <w:vAlign w:val="bottom"/>
            <w:hideMark/>
          </w:tcPr>
          <w:p w:rsidR="00260FC5" w:rsidRPr="00B248CA" w:rsidRDefault="00260FC5" w:rsidP="00260FC5">
            <w:pPr>
              <w:spacing w:after="0" w:line="240" w:lineRule="auto"/>
              <w:jc w:val="center"/>
              <w:rPr>
                <w:rFonts w:ascii="Arial Cyr" w:hAnsi="Arial Cyr"/>
                <w:sz w:val="14"/>
                <w:szCs w:val="14"/>
              </w:rPr>
            </w:pPr>
            <w:r w:rsidRPr="00B248CA">
              <w:rPr>
                <w:rFonts w:ascii="Arial Cyr" w:hAnsi="Arial Cyr"/>
                <w:sz w:val="14"/>
                <w:szCs w:val="14"/>
              </w:rPr>
              <w:t>99,2</w:t>
            </w:r>
          </w:p>
        </w:tc>
        <w:tc>
          <w:tcPr>
            <w:tcW w:w="709" w:type="dxa"/>
          </w:tcPr>
          <w:p w:rsidR="00260FC5" w:rsidRPr="00413E40" w:rsidRDefault="00260FC5" w:rsidP="00260FC5">
            <w:pPr>
              <w:spacing w:after="0" w:line="240" w:lineRule="auto"/>
              <w:jc w:val="center"/>
              <w:rPr>
                <w:sz w:val="14"/>
                <w:szCs w:val="14"/>
              </w:rPr>
            </w:pPr>
            <w:r>
              <w:rPr>
                <w:sz w:val="14"/>
                <w:szCs w:val="14"/>
              </w:rPr>
              <w:t>99,7**</w:t>
            </w:r>
          </w:p>
        </w:tc>
      </w:tr>
    </w:tbl>
    <w:p w:rsidR="00260FC5" w:rsidRPr="00B248CA" w:rsidRDefault="00260FC5" w:rsidP="00260FC5">
      <w:pPr>
        <w:pStyle w:val="normal"/>
        <w:tabs>
          <w:tab w:val="left" w:pos="3645"/>
          <w:tab w:val="left" w:pos="8685"/>
        </w:tabs>
        <w:spacing w:line="240" w:lineRule="auto"/>
        <w:rPr>
          <w:lang w:val="en-US"/>
        </w:rPr>
      </w:pPr>
      <w:r w:rsidRPr="00F55F83">
        <w:rPr>
          <w:sz w:val="24"/>
          <w:szCs w:val="24"/>
        </w:rPr>
        <w:t>* таблица рассчитана и составлена автором на основе данных</w:t>
      </w:r>
      <w:r>
        <w:rPr>
          <w:sz w:val="24"/>
          <w:szCs w:val="24"/>
        </w:rPr>
        <w:t xml:space="preserve">: Индекс производительности труда по России и основным отраслям экономики РФ. </w:t>
      </w:r>
      <w:r w:rsidRPr="00B248CA">
        <w:rPr>
          <w:sz w:val="24"/>
          <w:szCs w:val="24"/>
          <w:lang w:val="en-US"/>
        </w:rPr>
        <w:t>URL:  http://www.gks.ru/free_doc/new_site/effect/macr1.xlsx</w:t>
      </w:r>
    </w:p>
    <w:p w:rsidR="00260FC5" w:rsidRPr="00413E40" w:rsidRDefault="00260FC5" w:rsidP="00260FC5">
      <w:pPr>
        <w:pStyle w:val="normal"/>
        <w:tabs>
          <w:tab w:val="left" w:pos="3645"/>
          <w:tab w:val="left" w:pos="8685"/>
        </w:tabs>
        <w:spacing w:line="240" w:lineRule="auto"/>
        <w:rPr>
          <w:sz w:val="24"/>
          <w:szCs w:val="24"/>
        </w:rPr>
      </w:pPr>
      <w:r w:rsidRPr="00413E40">
        <w:rPr>
          <w:sz w:val="24"/>
          <w:szCs w:val="24"/>
        </w:rPr>
        <w:t xml:space="preserve">** - показатель 2014 года рассчитан автором на основании предварительных данных ФСГС  </w:t>
      </w:r>
    </w:p>
    <w:p w:rsidR="00260FC5" w:rsidRDefault="00260FC5" w:rsidP="00260FC5">
      <w:pPr>
        <w:pStyle w:val="normal"/>
        <w:tabs>
          <w:tab w:val="left" w:pos="3645"/>
          <w:tab w:val="left" w:pos="8685"/>
        </w:tabs>
      </w:pPr>
    </w:p>
    <w:p w:rsidR="00260FC5" w:rsidRPr="00260FC5" w:rsidRDefault="00260FC5" w:rsidP="00260FC5">
      <w:pPr>
        <w:pStyle w:val="normal"/>
        <w:tabs>
          <w:tab w:val="left" w:pos="3645"/>
          <w:tab w:val="left" w:pos="8685"/>
        </w:tabs>
      </w:pPr>
      <w:r>
        <w:lastRenderedPageBreak/>
        <w:t xml:space="preserve">      Стоит добавить</w:t>
      </w:r>
      <w:r w:rsidRPr="00801BA5">
        <w:rPr>
          <w:szCs w:val="28"/>
        </w:rPr>
        <w:t>,</w:t>
      </w:r>
      <w:r>
        <w:rPr>
          <w:szCs w:val="28"/>
        </w:rPr>
        <w:t xml:space="preserve"> что</w:t>
      </w:r>
      <w:r w:rsidRPr="00801BA5">
        <w:rPr>
          <w:szCs w:val="28"/>
        </w:rPr>
        <w:t xml:space="preserve"> одним из ключевых факторов, определяющих показатели развития промышленного сектора экономики в современных условиях, является производительность</w:t>
      </w:r>
      <w:r>
        <w:rPr>
          <w:szCs w:val="28"/>
        </w:rPr>
        <w:t xml:space="preserve">. </w:t>
      </w:r>
      <w:r w:rsidRPr="00801BA5">
        <w:rPr>
          <w:szCs w:val="28"/>
        </w:rPr>
        <w:t>Показатель производительности труда рассчитывается Федеральной службой государственной статистики в форме индекса представляющего собой частное от деления индексов физического объема валовой добавленной стоимости (ВДС) и индекса изменения совокупных затрат труда в эквиваленте полной занятости. Индексы изменения ВДС рассчитаны исходя из абсолютных значений этих показателей в постоянных ценах. Индексы изменения совокупных затрат труда определены на основе трудовых затрат на всех видах работ, включая дополнительную работу и производство продукции для собственного потребления, приведенных к условным работникам в эквиваленте полной занятости.</w:t>
      </w:r>
    </w:p>
    <w:p w:rsidR="00260FC5" w:rsidRPr="00801BA5" w:rsidRDefault="00260FC5" w:rsidP="00260FC5">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Опираясь на</w:t>
      </w:r>
      <w:r>
        <w:rPr>
          <w:rFonts w:ascii="Times New Roman" w:hAnsi="Times New Roman" w:cs="Times New Roman"/>
          <w:sz w:val="28"/>
          <w:szCs w:val="28"/>
        </w:rPr>
        <w:t xml:space="preserve"> выводы ведущих специалистов, анализирующие</w:t>
      </w:r>
      <w:r w:rsidRPr="00801BA5">
        <w:rPr>
          <w:rFonts w:ascii="Times New Roman" w:hAnsi="Times New Roman" w:cs="Times New Roman"/>
          <w:sz w:val="28"/>
          <w:szCs w:val="28"/>
        </w:rPr>
        <w:t xml:space="preserve"> динамику индексов производительности труда по экономике в целом, можно сказать, что в последнее десятилетие наблюдается устойчивое замедление роста производительности труда в отечественной экономике. Так, в предкризисные 2003-2007 годы в целом по экономике наблюдался ежегодный прирост производительности труда на 5,5-7,5%. В 2009 году производительность труда в целом по экономике снизилась на 4,1% по сравнению с 2008 годом. В посткризисные 2010-2012 годы ежегодные темпы прироста производительности труда находились всего лишь на уровне в 3,1-3,8%.</w:t>
      </w:r>
    </w:p>
    <w:p w:rsidR="00260FC5" w:rsidRPr="00801BA5" w:rsidRDefault="00260FC5" w:rsidP="00260FC5">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Схожая по характеру, но несколько отличная по содержанию, динамика производительности труда наблюдалась и в секторах промышленности. Так,</w:t>
      </w:r>
      <w:r>
        <w:rPr>
          <w:rFonts w:ascii="Times New Roman" w:hAnsi="Times New Roman" w:cs="Times New Roman"/>
          <w:sz w:val="28"/>
          <w:szCs w:val="28"/>
        </w:rPr>
        <w:t xml:space="preserve"> результаты мониторинга </w:t>
      </w:r>
      <w:r w:rsidRPr="00801BA5">
        <w:rPr>
          <w:rFonts w:ascii="Times New Roman" w:hAnsi="Times New Roman" w:cs="Times New Roman"/>
          <w:sz w:val="28"/>
          <w:szCs w:val="28"/>
        </w:rPr>
        <w:t xml:space="preserve">позволяет установить общее снижение ежегодных темпов роста индексов производительности труда по всем секторам промышленности. При этом наиболее близкой и по характеру, и по содержанию к общеэкономической динамике является динамика производительности труда обрабатывающих производств, а динамика </w:t>
      </w:r>
      <w:r w:rsidRPr="00801BA5">
        <w:rPr>
          <w:rFonts w:ascii="Times New Roman" w:hAnsi="Times New Roman" w:cs="Times New Roman"/>
          <w:sz w:val="28"/>
          <w:szCs w:val="28"/>
        </w:rPr>
        <w:lastRenderedPageBreak/>
        <w:t>производительности труда добывающих и генерирующих производств имеет некоторые отличия. Так темпы роста производительности труда в сфере производства и распределения электроэнергии, газа и воды исходно были невысоки. При этом в 2007, 2009 и 2012 годах наблюдались отрицательные значения прироста. Максимальные значения прироста были отмечены лишь в начале периода – 2003 и 2005 годах. В свою очередь темпы роста производительности труда добывающих производств в начале рассматриваемого периода (2003-2005 годы) находились на среднем для экономики уровне. Затем темпы роста значительно замедлились, а в 2012 году здесь впервые были отмечены отрицательные темпы прироста производительности труда.</w:t>
      </w:r>
    </w:p>
    <w:p w:rsidR="00033301" w:rsidRDefault="00033301" w:rsidP="00033301">
      <w:pPr>
        <w:pStyle w:val="normal"/>
        <w:tabs>
          <w:tab w:val="left" w:pos="3645"/>
          <w:tab w:val="left" w:pos="8685"/>
        </w:tabs>
        <w:ind w:firstLine="709"/>
      </w:pPr>
      <w:r>
        <w:t xml:space="preserve">Несмотря на незначительное снижение степени износа основных фондов по промышленным отраслям, общая степень износа основных фондов в Российской Федерации за 2004- 2014 гг. увеличивалась как в период роста экономики до 2008 гг., так и в период трансформации, в 2008 -2014 гг., что наглядно показано в таблице </w:t>
      </w:r>
      <w:r w:rsidR="000528B4">
        <w:t>2</w:t>
      </w:r>
      <w:r>
        <w:t>.</w:t>
      </w:r>
      <w:r w:rsidR="000528B4">
        <w:t>5</w:t>
      </w:r>
      <w:r w:rsidR="00260FC5">
        <w:t>.</w:t>
      </w:r>
    </w:p>
    <w:p w:rsidR="00033301" w:rsidRDefault="00033301" w:rsidP="00033301">
      <w:pPr>
        <w:pStyle w:val="normal"/>
        <w:tabs>
          <w:tab w:val="left" w:pos="3645"/>
          <w:tab w:val="left" w:pos="8685"/>
        </w:tabs>
        <w:spacing w:line="240" w:lineRule="auto"/>
        <w:ind w:firstLine="709"/>
      </w:pPr>
    </w:p>
    <w:p w:rsidR="00033301" w:rsidRDefault="00033301" w:rsidP="00033301">
      <w:pPr>
        <w:pStyle w:val="normal"/>
        <w:tabs>
          <w:tab w:val="left" w:pos="3645"/>
          <w:tab w:val="left" w:pos="8685"/>
        </w:tabs>
        <w:spacing w:line="240" w:lineRule="auto"/>
        <w:jc w:val="right"/>
      </w:pPr>
      <w:r>
        <w:t xml:space="preserve">Таблица </w:t>
      </w:r>
      <w:r w:rsidR="000528B4">
        <w:t>2.5</w:t>
      </w:r>
      <w:r>
        <w:t xml:space="preserve"> </w:t>
      </w:r>
    </w:p>
    <w:p w:rsidR="00033301" w:rsidRDefault="00033301" w:rsidP="00033301">
      <w:pPr>
        <w:pStyle w:val="normal"/>
        <w:tabs>
          <w:tab w:val="left" w:pos="3645"/>
          <w:tab w:val="left" w:pos="8685"/>
        </w:tabs>
        <w:spacing w:line="240" w:lineRule="auto"/>
        <w:jc w:val="center"/>
      </w:pPr>
      <w:r>
        <w:t>Степень износа основных фондов по экономике и основным отраслям промышленности*</w:t>
      </w:r>
    </w:p>
    <w:tbl>
      <w:tblPr>
        <w:tblW w:w="9371" w:type="dxa"/>
        <w:tblInd w:w="93" w:type="dxa"/>
        <w:tblLayout w:type="fixed"/>
        <w:tblLook w:val="04A0"/>
      </w:tblPr>
      <w:tblGrid>
        <w:gridCol w:w="2709"/>
        <w:gridCol w:w="567"/>
        <w:gridCol w:w="567"/>
        <w:gridCol w:w="567"/>
        <w:gridCol w:w="567"/>
        <w:gridCol w:w="567"/>
        <w:gridCol w:w="567"/>
        <w:gridCol w:w="708"/>
        <w:gridCol w:w="567"/>
        <w:gridCol w:w="709"/>
        <w:gridCol w:w="567"/>
        <w:gridCol w:w="709"/>
      </w:tblGrid>
      <w:tr w:rsidR="00260FC5" w:rsidRPr="00F55F83" w:rsidTr="00260FC5">
        <w:trPr>
          <w:trHeight w:val="185"/>
        </w:trPr>
        <w:tc>
          <w:tcPr>
            <w:tcW w:w="2709"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sz w:val="14"/>
                <w:szCs w:val="14"/>
              </w:rPr>
            </w:pP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2004</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2005</w:t>
            </w:r>
          </w:p>
        </w:tc>
        <w:tc>
          <w:tcPr>
            <w:tcW w:w="567" w:type="dxa"/>
            <w:tcBorders>
              <w:top w:val="single" w:sz="4" w:space="0" w:color="auto"/>
              <w:left w:val="nil"/>
              <w:bottom w:val="single" w:sz="4" w:space="0" w:color="000000"/>
              <w:right w:val="single" w:sz="4" w:space="0" w:color="000000"/>
            </w:tcBorders>
            <w:shd w:val="clear" w:color="auto" w:fill="auto"/>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2006</w:t>
            </w:r>
          </w:p>
        </w:tc>
        <w:tc>
          <w:tcPr>
            <w:tcW w:w="567" w:type="dxa"/>
            <w:tcBorders>
              <w:top w:val="single" w:sz="4" w:space="0" w:color="auto"/>
              <w:left w:val="nil"/>
              <w:bottom w:val="single" w:sz="4" w:space="0" w:color="000000"/>
              <w:right w:val="nil"/>
            </w:tcBorders>
            <w:shd w:val="clear" w:color="auto" w:fill="auto"/>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2008</w:t>
            </w:r>
          </w:p>
        </w:tc>
        <w:tc>
          <w:tcPr>
            <w:tcW w:w="567" w:type="dxa"/>
            <w:tcBorders>
              <w:top w:val="single" w:sz="4" w:space="0" w:color="auto"/>
              <w:left w:val="nil"/>
              <w:bottom w:val="single" w:sz="4" w:space="0" w:color="auto"/>
              <w:right w:val="nil"/>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2011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33301" w:rsidRPr="00F55F83" w:rsidRDefault="00033301" w:rsidP="00260FC5">
            <w:pPr>
              <w:jc w:val="center"/>
              <w:rPr>
                <w:rFonts w:ascii="Arial" w:hAnsi="Arial" w:cs="Arial"/>
                <w:b/>
                <w:bCs/>
                <w:sz w:val="14"/>
                <w:szCs w:val="14"/>
              </w:rPr>
            </w:pPr>
            <w:r>
              <w:rPr>
                <w:rFonts w:ascii="Arial" w:hAnsi="Arial" w:cs="Arial"/>
                <w:b/>
                <w:bCs/>
                <w:sz w:val="14"/>
                <w:szCs w:val="14"/>
              </w:rPr>
              <w:t>2013</w:t>
            </w:r>
          </w:p>
        </w:tc>
        <w:tc>
          <w:tcPr>
            <w:tcW w:w="709" w:type="dxa"/>
            <w:tcBorders>
              <w:top w:val="single" w:sz="4" w:space="0" w:color="auto"/>
              <w:left w:val="nil"/>
              <w:bottom w:val="single" w:sz="4" w:space="0" w:color="auto"/>
              <w:right w:val="single" w:sz="4" w:space="0" w:color="auto"/>
            </w:tcBorders>
          </w:tcPr>
          <w:p w:rsidR="00033301" w:rsidRDefault="00033301" w:rsidP="00260FC5">
            <w:pPr>
              <w:jc w:val="center"/>
              <w:rPr>
                <w:rFonts w:ascii="Arial" w:hAnsi="Arial" w:cs="Arial"/>
                <w:b/>
                <w:bCs/>
                <w:sz w:val="14"/>
                <w:szCs w:val="14"/>
              </w:rPr>
            </w:pPr>
            <w:r>
              <w:rPr>
                <w:rFonts w:ascii="Arial" w:hAnsi="Arial" w:cs="Arial"/>
                <w:b/>
                <w:bCs/>
                <w:sz w:val="14"/>
                <w:szCs w:val="14"/>
              </w:rPr>
              <w:t>2014</w:t>
            </w:r>
          </w:p>
        </w:tc>
      </w:tr>
      <w:tr w:rsidR="00260FC5" w:rsidRPr="00F55F83" w:rsidTr="00260FC5">
        <w:trPr>
          <w:trHeight w:val="185"/>
        </w:trPr>
        <w:tc>
          <w:tcPr>
            <w:tcW w:w="2709" w:type="dxa"/>
            <w:tcBorders>
              <w:top w:val="nil"/>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b/>
                <w:bCs/>
                <w:sz w:val="14"/>
                <w:szCs w:val="14"/>
              </w:rPr>
            </w:pPr>
            <w:r>
              <w:rPr>
                <w:rFonts w:ascii="Arial" w:hAnsi="Arial" w:cs="Arial"/>
                <w:b/>
                <w:bCs/>
                <w:sz w:val="14"/>
                <w:szCs w:val="14"/>
              </w:rPr>
              <w:t>Все основные фонды</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43,5</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45,2</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46,3</w:t>
            </w:r>
          </w:p>
        </w:tc>
        <w:tc>
          <w:tcPr>
            <w:tcW w:w="567" w:type="dxa"/>
            <w:tcBorders>
              <w:top w:val="nil"/>
              <w:left w:val="nil"/>
              <w:bottom w:val="single" w:sz="4" w:space="0" w:color="000000"/>
              <w:right w:val="nil"/>
            </w:tcBorders>
            <w:shd w:val="clear" w:color="auto" w:fill="auto"/>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45,3</w:t>
            </w:r>
          </w:p>
        </w:tc>
        <w:tc>
          <w:tcPr>
            <w:tcW w:w="567" w:type="dxa"/>
            <w:tcBorders>
              <w:top w:val="nil"/>
              <w:left w:val="nil"/>
              <w:bottom w:val="single" w:sz="4" w:space="0" w:color="auto"/>
              <w:right w:val="nil"/>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45,3</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47,1</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47,9</w:t>
            </w:r>
          </w:p>
        </w:tc>
        <w:tc>
          <w:tcPr>
            <w:tcW w:w="709"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47,7</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b/>
                <w:bCs/>
                <w:sz w:val="14"/>
                <w:szCs w:val="14"/>
              </w:rPr>
            </w:pPr>
            <w:r w:rsidRPr="00F55F83">
              <w:rPr>
                <w:rFonts w:ascii="Arial" w:hAnsi="Arial" w:cs="Arial"/>
                <w:b/>
                <w:bCs/>
                <w:sz w:val="14"/>
                <w:szCs w:val="14"/>
              </w:rPr>
              <w:t>48,2</w:t>
            </w:r>
          </w:p>
        </w:tc>
        <w:tc>
          <w:tcPr>
            <w:tcW w:w="709" w:type="dxa"/>
            <w:tcBorders>
              <w:top w:val="nil"/>
              <w:left w:val="nil"/>
              <w:bottom w:val="single" w:sz="4" w:space="0" w:color="auto"/>
              <w:right w:val="single" w:sz="4" w:space="0" w:color="auto"/>
            </w:tcBorders>
          </w:tcPr>
          <w:p w:rsidR="00033301" w:rsidRPr="00F55F83" w:rsidRDefault="00033301" w:rsidP="00260FC5">
            <w:pPr>
              <w:spacing w:after="0" w:line="240" w:lineRule="auto"/>
              <w:jc w:val="right"/>
              <w:rPr>
                <w:rFonts w:ascii="Arial" w:hAnsi="Arial" w:cs="Arial"/>
                <w:b/>
                <w:bCs/>
                <w:sz w:val="14"/>
                <w:szCs w:val="14"/>
              </w:rPr>
            </w:pPr>
            <w:r>
              <w:rPr>
                <w:rFonts w:ascii="Arial" w:hAnsi="Arial" w:cs="Arial"/>
                <w:b/>
                <w:bCs/>
                <w:sz w:val="14"/>
                <w:szCs w:val="14"/>
              </w:rPr>
              <w:t>48,9**</w:t>
            </w:r>
          </w:p>
        </w:tc>
      </w:tr>
      <w:tr w:rsidR="00260FC5" w:rsidRPr="00F55F83" w:rsidTr="00260FC5">
        <w:trPr>
          <w:trHeight w:val="185"/>
        </w:trPr>
        <w:tc>
          <w:tcPr>
            <w:tcW w:w="2709" w:type="dxa"/>
            <w:tcBorders>
              <w:top w:val="nil"/>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sz w:val="14"/>
                <w:szCs w:val="14"/>
              </w:rPr>
            </w:pPr>
            <w:r w:rsidRPr="00F55F83">
              <w:rPr>
                <w:rFonts w:ascii="Arial" w:hAnsi="Arial" w:cs="Arial"/>
                <w:sz w:val="14"/>
                <w:szCs w:val="14"/>
              </w:rPr>
              <w:t>в том числе по видам экономической деятельности:</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jc w:val="right"/>
              <w:rPr>
                <w:rFonts w:ascii="Arial" w:hAnsi="Arial" w:cs="Arial"/>
                <w:b/>
                <w:bCs/>
                <w:sz w:val="14"/>
                <w:szCs w:val="14"/>
              </w:rPr>
            </w:pP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jc w:val="right"/>
              <w:rPr>
                <w:rFonts w:ascii="Arial" w:hAnsi="Arial" w:cs="Arial"/>
                <w:b/>
                <w:bCs/>
                <w:sz w:val="14"/>
                <w:szCs w:val="14"/>
              </w:rPr>
            </w:pP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jc w:val="right"/>
              <w:rPr>
                <w:rFonts w:ascii="Arial" w:hAnsi="Arial" w:cs="Arial"/>
                <w:b/>
                <w:bCs/>
                <w:sz w:val="14"/>
                <w:szCs w:val="14"/>
              </w:rPr>
            </w:pPr>
          </w:p>
        </w:tc>
        <w:tc>
          <w:tcPr>
            <w:tcW w:w="567" w:type="dxa"/>
            <w:tcBorders>
              <w:top w:val="nil"/>
              <w:left w:val="nil"/>
              <w:bottom w:val="single" w:sz="4" w:space="0" w:color="000000"/>
              <w:right w:val="nil"/>
            </w:tcBorders>
            <w:shd w:val="clear" w:color="auto" w:fill="auto"/>
            <w:vAlign w:val="bottom"/>
            <w:hideMark/>
          </w:tcPr>
          <w:p w:rsidR="00033301" w:rsidRPr="00F55F83" w:rsidRDefault="00033301" w:rsidP="00260FC5">
            <w:pPr>
              <w:jc w:val="right"/>
              <w:rPr>
                <w:rFonts w:ascii="Arial" w:hAnsi="Arial" w:cs="Arial"/>
                <w:b/>
                <w:bCs/>
                <w:sz w:val="14"/>
                <w:szCs w:val="14"/>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jc w:val="right"/>
              <w:rPr>
                <w:rFonts w:ascii="Arial" w:hAnsi="Arial" w:cs="Arial"/>
                <w:b/>
                <w:bCs/>
                <w:sz w:val="14"/>
                <w:szCs w:val="14"/>
              </w:rPr>
            </w:pPr>
          </w:p>
        </w:tc>
        <w:tc>
          <w:tcPr>
            <w:tcW w:w="567" w:type="dxa"/>
            <w:tcBorders>
              <w:top w:val="nil"/>
              <w:left w:val="nil"/>
              <w:bottom w:val="single" w:sz="4" w:space="0" w:color="auto"/>
              <w:right w:val="nil"/>
            </w:tcBorders>
            <w:shd w:val="clear" w:color="auto" w:fill="auto"/>
            <w:noWrap/>
            <w:vAlign w:val="bottom"/>
            <w:hideMark/>
          </w:tcPr>
          <w:p w:rsidR="00033301" w:rsidRPr="00F55F83" w:rsidRDefault="00033301" w:rsidP="00260FC5">
            <w:pPr>
              <w:jc w:val="right"/>
              <w:rPr>
                <w:rFonts w:ascii="Arial" w:hAnsi="Arial" w:cs="Arial"/>
                <w:b/>
                <w:bCs/>
                <w:sz w:val="14"/>
                <w:szCs w:val="14"/>
              </w:rPr>
            </w:pP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rPr>
                <w:rFonts w:ascii="Arial" w:hAnsi="Arial" w:cs="Arial"/>
                <w:b/>
                <w:bCs/>
                <w:sz w:val="14"/>
                <w:szCs w:val="14"/>
              </w:rPr>
            </w:pP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rPr>
                <w:rFonts w:ascii="Arial" w:hAnsi="Arial" w:cs="Arial"/>
                <w:b/>
                <w:bCs/>
                <w:sz w:val="14"/>
                <w:szCs w:val="14"/>
              </w:rPr>
            </w:pPr>
          </w:p>
        </w:tc>
        <w:tc>
          <w:tcPr>
            <w:tcW w:w="709"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rPr>
                <w:rFonts w:ascii="Arial" w:hAnsi="Arial" w:cs="Arial"/>
                <w:b/>
                <w:bCs/>
                <w:sz w:val="14"/>
                <w:szCs w:val="14"/>
              </w:rPr>
            </w:pP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rPr>
                <w:rFonts w:ascii="Arial" w:hAnsi="Arial" w:cs="Arial"/>
                <w:b/>
                <w:bCs/>
                <w:sz w:val="14"/>
                <w:szCs w:val="14"/>
              </w:rPr>
            </w:pPr>
          </w:p>
        </w:tc>
        <w:tc>
          <w:tcPr>
            <w:tcW w:w="709" w:type="dxa"/>
            <w:tcBorders>
              <w:top w:val="nil"/>
              <w:left w:val="nil"/>
              <w:bottom w:val="single" w:sz="4" w:space="0" w:color="auto"/>
              <w:right w:val="single" w:sz="4" w:space="0" w:color="auto"/>
            </w:tcBorders>
          </w:tcPr>
          <w:p w:rsidR="00033301" w:rsidRPr="00F55F83" w:rsidRDefault="00033301" w:rsidP="00260FC5">
            <w:pPr>
              <w:rPr>
                <w:rFonts w:ascii="Arial" w:hAnsi="Arial" w:cs="Arial"/>
                <w:b/>
                <w:bCs/>
                <w:sz w:val="14"/>
                <w:szCs w:val="14"/>
              </w:rPr>
            </w:pPr>
          </w:p>
        </w:tc>
      </w:tr>
      <w:tr w:rsidR="00260FC5" w:rsidRPr="00F55F83" w:rsidTr="00260FC5">
        <w:trPr>
          <w:trHeight w:val="185"/>
        </w:trPr>
        <w:tc>
          <w:tcPr>
            <w:tcW w:w="2709" w:type="dxa"/>
            <w:tcBorders>
              <w:top w:val="nil"/>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sz w:val="14"/>
                <w:szCs w:val="14"/>
              </w:rPr>
            </w:pPr>
            <w:r w:rsidRPr="00F55F83">
              <w:rPr>
                <w:rFonts w:ascii="Arial" w:hAnsi="Arial" w:cs="Arial"/>
                <w:sz w:val="14"/>
                <w:szCs w:val="14"/>
              </w:rPr>
              <w:t>добыча полезных ископаемых</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54,8</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53,3</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53,3</w:t>
            </w:r>
          </w:p>
        </w:tc>
        <w:tc>
          <w:tcPr>
            <w:tcW w:w="567" w:type="dxa"/>
            <w:tcBorders>
              <w:top w:val="nil"/>
              <w:left w:val="nil"/>
              <w:bottom w:val="single" w:sz="4" w:space="0" w:color="000000"/>
              <w:right w:val="nil"/>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53,4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50,9</w:t>
            </w:r>
          </w:p>
        </w:tc>
        <w:tc>
          <w:tcPr>
            <w:tcW w:w="567" w:type="dxa"/>
            <w:tcBorders>
              <w:top w:val="nil"/>
              <w:left w:val="nil"/>
              <w:bottom w:val="single" w:sz="4" w:space="0" w:color="auto"/>
              <w:right w:val="nil"/>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49,6</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51,1</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52,2</w:t>
            </w:r>
          </w:p>
        </w:tc>
        <w:tc>
          <w:tcPr>
            <w:tcW w:w="709"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51,2</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53,2</w:t>
            </w:r>
          </w:p>
        </w:tc>
        <w:tc>
          <w:tcPr>
            <w:tcW w:w="709" w:type="dxa"/>
            <w:tcBorders>
              <w:top w:val="nil"/>
              <w:left w:val="nil"/>
              <w:bottom w:val="single" w:sz="4" w:space="0" w:color="auto"/>
              <w:right w:val="single" w:sz="4" w:space="0" w:color="auto"/>
            </w:tcBorders>
          </w:tcPr>
          <w:p w:rsidR="00033301" w:rsidRPr="00F55F83" w:rsidRDefault="00033301" w:rsidP="00260FC5">
            <w:pPr>
              <w:spacing w:after="0" w:line="240" w:lineRule="auto"/>
              <w:jc w:val="right"/>
              <w:rPr>
                <w:rFonts w:ascii="Arial" w:hAnsi="Arial" w:cs="Arial"/>
                <w:sz w:val="14"/>
                <w:szCs w:val="14"/>
              </w:rPr>
            </w:pPr>
            <w:r>
              <w:rPr>
                <w:rFonts w:ascii="Arial" w:hAnsi="Arial" w:cs="Arial"/>
                <w:sz w:val="14"/>
                <w:szCs w:val="14"/>
              </w:rPr>
              <w:t>53,5**</w:t>
            </w:r>
          </w:p>
        </w:tc>
      </w:tr>
      <w:tr w:rsidR="00260FC5" w:rsidRPr="00F55F83" w:rsidTr="00260FC5">
        <w:trPr>
          <w:trHeight w:val="185"/>
        </w:trPr>
        <w:tc>
          <w:tcPr>
            <w:tcW w:w="2709" w:type="dxa"/>
            <w:tcBorders>
              <w:top w:val="nil"/>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sz w:val="14"/>
                <w:szCs w:val="14"/>
              </w:rPr>
            </w:pPr>
            <w:r w:rsidRPr="00F55F83">
              <w:rPr>
                <w:rFonts w:ascii="Arial" w:hAnsi="Arial" w:cs="Arial"/>
                <w:sz w:val="14"/>
                <w:szCs w:val="14"/>
              </w:rPr>
              <w:t>обрабатывающие производства</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47,8</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47,1</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46,8</w:t>
            </w:r>
          </w:p>
        </w:tc>
        <w:tc>
          <w:tcPr>
            <w:tcW w:w="567" w:type="dxa"/>
            <w:tcBorders>
              <w:top w:val="nil"/>
              <w:left w:val="nil"/>
              <w:bottom w:val="single" w:sz="4" w:space="0" w:color="000000"/>
              <w:right w:val="nil"/>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45,6</w:t>
            </w:r>
          </w:p>
        </w:tc>
        <w:tc>
          <w:tcPr>
            <w:tcW w:w="567" w:type="dxa"/>
            <w:tcBorders>
              <w:top w:val="nil"/>
              <w:left w:val="nil"/>
              <w:bottom w:val="single" w:sz="4" w:space="0" w:color="auto"/>
              <w:right w:val="nil"/>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45,7</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46,1</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46,7</w:t>
            </w:r>
          </w:p>
        </w:tc>
        <w:tc>
          <w:tcPr>
            <w:tcW w:w="709"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46,8</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46,8</w:t>
            </w:r>
          </w:p>
        </w:tc>
        <w:tc>
          <w:tcPr>
            <w:tcW w:w="709" w:type="dxa"/>
            <w:tcBorders>
              <w:top w:val="nil"/>
              <w:left w:val="nil"/>
              <w:bottom w:val="single" w:sz="4" w:space="0" w:color="auto"/>
              <w:right w:val="single" w:sz="4" w:space="0" w:color="auto"/>
            </w:tcBorders>
          </w:tcPr>
          <w:p w:rsidR="00033301" w:rsidRPr="00F55F83" w:rsidRDefault="00033301" w:rsidP="00260FC5">
            <w:pPr>
              <w:spacing w:after="0" w:line="240" w:lineRule="auto"/>
              <w:jc w:val="right"/>
              <w:rPr>
                <w:rFonts w:ascii="Arial" w:hAnsi="Arial" w:cs="Arial"/>
                <w:sz w:val="14"/>
                <w:szCs w:val="14"/>
              </w:rPr>
            </w:pPr>
            <w:r>
              <w:rPr>
                <w:rFonts w:ascii="Arial" w:hAnsi="Arial" w:cs="Arial"/>
                <w:sz w:val="14"/>
                <w:szCs w:val="14"/>
              </w:rPr>
              <w:t>47,1**</w:t>
            </w:r>
          </w:p>
        </w:tc>
      </w:tr>
      <w:tr w:rsidR="00260FC5" w:rsidRPr="00F55F83" w:rsidTr="00260FC5">
        <w:trPr>
          <w:trHeight w:val="369"/>
        </w:trPr>
        <w:tc>
          <w:tcPr>
            <w:tcW w:w="2709" w:type="dxa"/>
            <w:tcBorders>
              <w:top w:val="nil"/>
              <w:left w:val="single" w:sz="4" w:space="0" w:color="000000"/>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rPr>
                <w:rFonts w:ascii="Arial" w:hAnsi="Arial" w:cs="Arial"/>
                <w:sz w:val="14"/>
                <w:szCs w:val="14"/>
              </w:rPr>
            </w:pPr>
            <w:r w:rsidRPr="00F55F83">
              <w:rPr>
                <w:rFonts w:ascii="Arial" w:hAnsi="Arial" w:cs="Arial"/>
                <w:sz w:val="14"/>
                <w:szCs w:val="14"/>
              </w:rPr>
              <w:t>производство и распределение электроэнергии, газа и воды</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55,6</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52,2</w:t>
            </w:r>
          </w:p>
        </w:tc>
        <w:tc>
          <w:tcPr>
            <w:tcW w:w="567" w:type="dxa"/>
            <w:tcBorders>
              <w:top w:val="nil"/>
              <w:left w:val="nil"/>
              <w:bottom w:val="single" w:sz="4" w:space="0" w:color="000000"/>
              <w:right w:val="single" w:sz="4" w:space="0" w:color="000000"/>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51,4</w:t>
            </w:r>
          </w:p>
        </w:tc>
        <w:tc>
          <w:tcPr>
            <w:tcW w:w="567" w:type="dxa"/>
            <w:tcBorders>
              <w:top w:val="nil"/>
              <w:left w:val="nil"/>
              <w:bottom w:val="single" w:sz="4" w:space="0" w:color="000000"/>
              <w:right w:val="nil"/>
            </w:tcBorders>
            <w:shd w:val="clear" w:color="auto" w:fill="auto"/>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52,7</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51,2</w:t>
            </w:r>
          </w:p>
        </w:tc>
        <w:tc>
          <w:tcPr>
            <w:tcW w:w="567" w:type="dxa"/>
            <w:tcBorders>
              <w:top w:val="nil"/>
              <w:left w:val="nil"/>
              <w:bottom w:val="single" w:sz="4" w:space="0" w:color="auto"/>
              <w:right w:val="nil"/>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50,7</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51,1</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50,5</w:t>
            </w:r>
          </w:p>
        </w:tc>
        <w:tc>
          <w:tcPr>
            <w:tcW w:w="709"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47,8</w:t>
            </w:r>
          </w:p>
        </w:tc>
        <w:tc>
          <w:tcPr>
            <w:tcW w:w="567" w:type="dxa"/>
            <w:tcBorders>
              <w:top w:val="nil"/>
              <w:left w:val="nil"/>
              <w:bottom w:val="single" w:sz="4" w:space="0" w:color="auto"/>
              <w:right w:val="single" w:sz="4" w:space="0" w:color="auto"/>
            </w:tcBorders>
            <w:shd w:val="clear" w:color="auto" w:fill="auto"/>
            <w:noWrap/>
            <w:vAlign w:val="bottom"/>
            <w:hideMark/>
          </w:tcPr>
          <w:p w:rsidR="00033301" w:rsidRPr="00F55F83" w:rsidRDefault="00033301" w:rsidP="00260FC5">
            <w:pPr>
              <w:spacing w:after="0" w:line="240" w:lineRule="auto"/>
              <w:jc w:val="right"/>
              <w:rPr>
                <w:rFonts w:ascii="Arial" w:hAnsi="Arial" w:cs="Arial"/>
                <w:sz w:val="14"/>
                <w:szCs w:val="14"/>
              </w:rPr>
            </w:pPr>
            <w:r w:rsidRPr="00F55F83">
              <w:rPr>
                <w:rFonts w:ascii="Arial" w:hAnsi="Arial" w:cs="Arial"/>
                <w:sz w:val="14"/>
                <w:szCs w:val="14"/>
              </w:rPr>
              <w:t>47,6</w:t>
            </w:r>
          </w:p>
        </w:tc>
        <w:tc>
          <w:tcPr>
            <w:tcW w:w="709" w:type="dxa"/>
            <w:tcBorders>
              <w:top w:val="nil"/>
              <w:left w:val="nil"/>
              <w:bottom w:val="single" w:sz="4" w:space="0" w:color="auto"/>
              <w:right w:val="single" w:sz="4" w:space="0" w:color="auto"/>
            </w:tcBorders>
          </w:tcPr>
          <w:p w:rsidR="00033301" w:rsidRPr="00F55F83" w:rsidRDefault="00033301" w:rsidP="00260FC5">
            <w:pPr>
              <w:spacing w:after="0" w:line="240" w:lineRule="auto"/>
              <w:jc w:val="right"/>
              <w:rPr>
                <w:rFonts w:ascii="Arial" w:hAnsi="Arial" w:cs="Arial"/>
                <w:sz w:val="14"/>
                <w:szCs w:val="14"/>
              </w:rPr>
            </w:pPr>
            <w:r>
              <w:rPr>
                <w:rFonts w:ascii="Arial" w:hAnsi="Arial" w:cs="Arial"/>
                <w:sz w:val="14"/>
                <w:szCs w:val="14"/>
              </w:rPr>
              <w:t>47,9**</w:t>
            </w:r>
          </w:p>
        </w:tc>
      </w:tr>
    </w:tbl>
    <w:p w:rsidR="00033301" w:rsidRDefault="00033301" w:rsidP="00033301">
      <w:pPr>
        <w:pStyle w:val="normal"/>
        <w:tabs>
          <w:tab w:val="left" w:pos="3645"/>
          <w:tab w:val="left" w:pos="8685"/>
        </w:tabs>
        <w:spacing w:line="240" w:lineRule="auto"/>
        <w:rPr>
          <w:sz w:val="24"/>
          <w:szCs w:val="24"/>
        </w:rPr>
      </w:pPr>
      <w:r w:rsidRPr="00F55F83">
        <w:rPr>
          <w:sz w:val="24"/>
          <w:szCs w:val="24"/>
        </w:rPr>
        <w:t>* таблица рассчитана и составлена автором на основе данных</w:t>
      </w:r>
      <w:r>
        <w:rPr>
          <w:sz w:val="24"/>
          <w:szCs w:val="24"/>
        </w:rPr>
        <w:t>:</w:t>
      </w:r>
      <w:r w:rsidRPr="00F166C1">
        <w:t xml:space="preserve"> </w:t>
      </w:r>
      <w:r w:rsidRPr="00F166C1">
        <w:rPr>
          <w:sz w:val="24"/>
          <w:szCs w:val="24"/>
        </w:rPr>
        <w:t xml:space="preserve">Основные фонды // Федеральная служба государственной статистики. – URL: </w:t>
      </w:r>
      <w:r w:rsidRPr="00413E40">
        <w:rPr>
          <w:sz w:val="24"/>
          <w:szCs w:val="24"/>
        </w:rPr>
        <w:t>http://www.gks.ru/free_doc/new_site/business/osnfond/STIZN_ved.xls</w:t>
      </w:r>
    </w:p>
    <w:p w:rsidR="00033301" w:rsidRDefault="00033301" w:rsidP="00033301">
      <w:pPr>
        <w:pStyle w:val="normal"/>
        <w:tabs>
          <w:tab w:val="left" w:pos="3645"/>
          <w:tab w:val="left" w:pos="8685"/>
        </w:tabs>
        <w:spacing w:line="240" w:lineRule="auto"/>
        <w:rPr>
          <w:sz w:val="24"/>
          <w:szCs w:val="24"/>
        </w:rPr>
      </w:pPr>
      <w:r w:rsidRPr="00413E40">
        <w:rPr>
          <w:sz w:val="24"/>
          <w:szCs w:val="24"/>
        </w:rPr>
        <w:t>** - показатель 2014 года рассчитан автором на основании предварительных данных ФСГС</w:t>
      </w:r>
    </w:p>
    <w:p w:rsidR="00033301" w:rsidRDefault="00033301" w:rsidP="00033301">
      <w:pPr>
        <w:autoSpaceDE w:val="0"/>
        <w:autoSpaceDN w:val="0"/>
        <w:adjustRightInd w:val="0"/>
        <w:spacing w:after="0" w:line="240" w:lineRule="auto"/>
        <w:jc w:val="both"/>
        <w:rPr>
          <w:rFonts w:ascii="TimesNewRomanPS-BoldMT" w:hAnsi="TimesNewRomanPS-BoldMT" w:cs="TimesNewRomanPS-BoldMT"/>
          <w:b/>
          <w:bCs/>
          <w:sz w:val="20"/>
          <w:szCs w:val="20"/>
        </w:rPr>
      </w:pPr>
    </w:p>
    <w:p w:rsidR="00033301" w:rsidRDefault="00033301" w:rsidP="00033301">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C24059">
        <w:rPr>
          <w:rFonts w:ascii="Times New Roman" w:hAnsi="Times New Roman"/>
          <w:sz w:val="28"/>
          <w:szCs w:val="28"/>
        </w:rPr>
        <w:t xml:space="preserve">ыявленные на основе комплексного, структурно-функционального и индексного методов анализа противоречия в развитии производственной инфраструктуры промышленного комплекса позволили сформулировать элементы инфраструктурного характера для формирования новой программы </w:t>
      </w:r>
      <w:r w:rsidRPr="00C24059">
        <w:rPr>
          <w:rFonts w:ascii="Times New Roman" w:hAnsi="Times New Roman"/>
          <w:sz w:val="28"/>
          <w:szCs w:val="28"/>
        </w:rPr>
        <w:lastRenderedPageBreak/>
        <w:t>государственной промышленной политики, в направлении стимулирования позитивных и сглаживающих негативных факторов развития промышленной производственной инфраструктуры, усиление ее вклада в интенсивное развитие промышленного комплекса. Применительно к производственно-инфраструктурной деятельности в различных отраслях промышленности в качестве приоритетных направлений предлагается: сохранение преемственности между инфраструктурными областями сферы деятельности для отраслей промышленности функционирующих в рамках как существующего, так и уже зарождающегося технологического уклада; локализация</w:t>
      </w:r>
      <w:r>
        <w:rPr>
          <w:rFonts w:ascii="Times New Roman" w:hAnsi="Times New Roman"/>
          <w:sz w:val="28"/>
          <w:szCs w:val="28"/>
        </w:rPr>
        <w:t xml:space="preserve"> субъектов</w:t>
      </w:r>
      <w:r w:rsidRPr="00C24059">
        <w:rPr>
          <w:rFonts w:ascii="Times New Roman" w:hAnsi="Times New Roman"/>
          <w:sz w:val="28"/>
          <w:szCs w:val="28"/>
        </w:rPr>
        <w:t xml:space="preserve"> производственной инфраструктуры</w:t>
      </w:r>
      <w:r>
        <w:rPr>
          <w:rFonts w:ascii="Times New Roman" w:hAnsi="Times New Roman"/>
          <w:sz w:val="28"/>
          <w:szCs w:val="28"/>
        </w:rPr>
        <w:t xml:space="preserve"> производственно-сервисной направленности</w:t>
      </w:r>
      <w:r w:rsidRPr="00C24059">
        <w:rPr>
          <w:rFonts w:ascii="Times New Roman" w:hAnsi="Times New Roman"/>
          <w:sz w:val="28"/>
          <w:szCs w:val="28"/>
        </w:rPr>
        <w:t xml:space="preserve"> в промышленных агломерациях</w:t>
      </w:r>
      <w:r>
        <w:rPr>
          <w:rFonts w:ascii="Times New Roman" w:hAnsi="Times New Roman"/>
          <w:sz w:val="28"/>
          <w:szCs w:val="28"/>
        </w:rPr>
        <w:t xml:space="preserve"> с одновременным развитием каналов перетока производственно-инфраструктурных заказов между ними; приоритетность использования существующих объектов производственной инфраструктуры промышленного комплекса с одновременным повышением отдачи от них и поддержкой формирования опережающими темпами новых форм производственной инфраструктуры промышленности.</w:t>
      </w:r>
    </w:p>
    <w:p w:rsidR="001F73FC" w:rsidRPr="00801BA5" w:rsidRDefault="001F73FC" w:rsidP="000528B4">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xml:space="preserve">Из </w:t>
      </w:r>
      <w:r w:rsidR="000528B4">
        <w:rPr>
          <w:rFonts w:ascii="Times New Roman" w:hAnsi="Times New Roman" w:cs="Times New Roman"/>
          <w:sz w:val="28"/>
          <w:szCs w:val="28"/>
        </w:rPr>
        <w:t>таблиц можно увидеть</w:t>
      </w:r>
      <w:r w:rsidRPr="00801BA5">
        <w:rPr>
          <w:rFonts w:ascii="Times New Roman" w:hAnsi="Times New Roman" w:cs="Times New Roman"/>
          <w:sz w:val="28"/>
          <w:szCs w:val="28"/>
        </w:rPr>
        <w:t xml:space="preserve">, что в целом объемы промышленного производства за рассматриваемый период времени увеличились на 56,4%. Причем наибольшим образом увеличилось производство в сфере обрабатывающей промышленности – на 74,2%. В сфере добывающей промышленности производство увеличилось на 49,0%. В сфере генерирующей промышленности – всего лишь на 13,9%. При этом общий характер динамики изменения производств по секторам промышленности был схож, что видно из анализа цепных индексов. Однако следует отметить, что устойчивость добывающего и генерирующего секторов в кризис 2008-2009 года была выше, нежели обрабатывающего. </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xml:space="preserve">При этом общий характер динамики изменения инвестиций в основной капитал по экономике в целом и по секторам промышленности в частности </w:t>
      </w:r>
      <w:r w:rsidRPr="00801BA5">
        <w:rPr>
          <w:rFonts w:ascii="Times New Roman" w:hAnsi="Times New Roman" w:cs="Times New Roman"/>
          <w:sz w:val="28"/>
          <w:szCs w:val="28"/>
        </w:rPr>
        <w:lastRenderedPageBreak/>
        <w:t>был схож, что видно из анализа цепных индексов. Из общей картины выбиваются лишь показатели по генерирующему сектору промышленности, где активно осуществлялись различные государственные и частные программы ускоренной модернизации основных фондов. В то же время следует заметить, что в последние годы цепные показатели свидетельствуют о замедлении инвестиционного процесса, что особенно отчетливо можно наблюдать по данным за 2012-2013 годы.</w:t>
      </w:r>
    </w:p>
    <w:p w:rsidR="001F73FC" w:rsidRPr="00801BA5" w:rsidRDefault="009C6831" w:rsidP="001F73F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таблице</w:t>
      </w:r>
      <w:r w:rsidR="001F73FC" w:rsidRPr="00801BA5">
        <w:rPr>
          <w:rFonts w:ascii="Times New Roman" w:hAnsi="Times New Roman" w:cs="Times New Roman"/>
          <w:sz w:val="28"/>
          <w:szCs w:val="28"/>
        </w:rPr>
        <w:t xml:space="preserve"> представлены результаты расчета средней продолжительности фактически отработанного времени среднегодовой численности занятых по видам экономической деятельности в 2009-2012 годах. Представленная в таблице оценка является частным от деления показателя количества фактически отработанного времени за год на всех видах работ по производству товаров и услуг на показатель среднегодовой численности занятых в экономике России по видам экономической деятельности. Несмотря на незначительные отличия представленной оценки от официальной методики Федеральной службы государственной статистики, рассчитывающей среднюю фактическую продолжительность рабочего времени работников списочного состава организаций по секторам промышленности, представленный подход позволяет проанализировать среднюю степень занятости трудовых ресурсов на производстве по видам экономической деятельности.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xml:space="preserve">При этом если сравнить среднюю продолжительность фактически отработанного времени среднегодовой численности занятых в секторах промышленности с данным показателем занятых в иных сферах экономической деятельности, то станет видно, что сектор обрабатывающих производств отстает от сектора транспорта и связи – сектора экономики, где наблюдается самая короткая продолжительность фактически отработанного времени среднегодовой численности занятых, за исключением, соответственно, промышленности. При этом продолжительность фактически </w:t>
      </w:r>
      <w:r w:rsidRPr="00801BA5">
        <w:rPr>
          <w:rFonts w:ascii="Times New Roman" w:hAnsi="Times New Roman" w:cs="Times New Roman"/>
          <w:sz w:val="28"/>
          <w:szCs w:val="28"/>
        </w:rPr>
        <w:lastRenderedPageBreak/>
        <w:t>отработанного времени среднегодовой численности занятых в сельском хозяйстве превышает аналогичный показатель в секторе обрабатывающих производств в 2,5 раза.</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Таким образом, становится видно, что в современных условиях устойчивое развитие отечественной промышленности в значительной степени зависит от решения множества различных задач. Большинство из них находятся в плоскости повышения экономической эффективности производственной деятельности. Не является исключением и задача повышения производительности труда. Как показывает проведенный анализ, решение данной задачи может лежать в плоскости увеличения средней продолжительности занятости работников на предприятиях промышленности. Между тем, следует понимать, что данный шаг непременно приведет к сокращению среднесписочной численности занятых. В то же время современные промышленные предприятия, особенно средние и крупные в моногородах, рассматриваются в качестве системообразующих предприятий для местного сообщества. Следовательно, простое сокращение рабочих мест вызовет социальные противоречия. Поэтому реализация обозначенной задачи в представленной плоскости вряд ли возможна. И здесь необходимо разрабатывать новые механизмы повышения производительности труда и общей эффективности производственной деятельности.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xml:space="preserve">В течение последних четырех десятилетий передовые страны мира по технологическому уровню развития относились к пятой технологической модели, основанной на электронике и вычислительной технике, телекоммуникациях, роботостроении, информационных услугах. Лидерами в рамках данного уклада являются Япония, США, Германия, Швеция и ряд других стран ЕС. Так, в 2013 году в армии США на вооружении состояли несколько тысяч боевых беспилотников с элементами искусственного интеллекта и полноценным комплектом вооружения. Согласно тенденциям и </w:t>
      </w:r>
      <w:r w:rsidRPr="00801BA5">
        <w:rPr>
          <w:rFonts w:ascii="Times New Roman" w:hAnsi="Times New Roman" w:cs="Times New Roman"/>
          <w:sz w:val="28"/>
          <w:szCs w:val="28"/>
        </w:rPr>
        <w:lastRenderedPageBreak/>
        <w:t xml:space="preserve">прогнозам развития военной промышленности, к 2030 году роботы будут составлять около 25% личного состава армии США. </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В связи с тем, что большинство стран активно финансируют развитие военного промышленного производства, оно выступает в качестве драйвера научного прогресса. К тому же, зачастую передовые технологии, применяемые при разработке и изготовлении вооружений, приобретают двойственный характер и применяются в общественной жизни. В настоящее же время в названных странах активно развивается шестой технологический уклад.</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Между тем, переход России на новый технологический уклад сопряжен с определенными трудностями. Основной системный анализ исторических этапов преобразований экономики России показывает, что при соответствии развития ее промышленного сектора тенденциям развития лидирующих стран, вхождение в новый технологический уклад происходило с большим запозданием. В дореволюционный период отечественное производство промышленной продукции находилось на уровне передовых промышленно-развитых государств. Однако для данного периода характерно неравномерное размещение промышленных предприятий в нашей стране. В капиталистической России наблюдалось резкое несоответствие степени индустриальной освоенности европейской части и восточных районов. Так, на производства Северо-Западного, Центрального и Южного районов приходилось порядка 77% всей продукции, в то время как в Сибири с ее богатыми сырьевыми и топливно-энергетическими ресурсами функционировало лишь 2% промышленного производства страны. Восточные районы вместе с Уралом не обеспечивали и 10% валовой продукции.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xml:space="preserve">Нерациональность размещения промышленного производства углубляла технико-экономическая зависимость России от иностранного капитала, который направлялся на освоение и эксплуатацию природных </w:t>
      </w:r>
      <w:r w:rsidRPr="00801BA5">
        <w:rPr>
          <w:rFonts w:ascii="Times New Roman" w:hAnsi="Times New Roman" w:cs="Times New Roman"/>
          <w:sz w:val="28"/>
          <w:szCs w:val="28"/>
        </w:rPr>
        <w:lastRenderedPageBreak/>
        <w:t>ресурсов, что обеспечивало наиболее высокие прибыли. Таким образом, размещение производительных сил того периода обусловливалось исключительно погоней за наибольшей прибылью.</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Значимые изменения в сфере размещения промышленности стали возможны благодаря восстановительному периоду и реализации ключевых положений первого перспективного плана развития и электрификации народного хозяйства страны ГОЭЛРО, согласно которым:</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было осуществлено техническое перевооружение всех отраслей хозяйства на базе электрической энергии;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обеспечен преимущественный рост тяжелой промышленности;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созданы условия для опережающего роста электроэнергетического хозяйства;</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построены крупные современные электрические станции;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освоены местные топливные водные ресурсы;</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возведены высоковольтные линии передачи;</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 произведено рациональное размещение электрического хозяйства.</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Достижение наиболее крупных по масштабам и охвату территорий изменений в сфере размещения промышленности обеспечила программа социалистической индустриализации страны, в рамках которой размещение промышленности производилось согласно законам планомерного, пропорционального развития народного хозяйства и требованиям его подъёма в различных районах страны. В ходе реализации довоенных пятилетних планов развития основным направлением изменений стало вовлечение в промышленный оборот богатейших сырьевых и топливно-энергетических ресурсов восточных районов.</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lastRenderedPageBreak/>
        <w:t>В послевоенные годы значительное внимание уделялось вопросам, связанным с размещением социалистического производства и комплексным развитием хозяйства экономических районов СССР. Это позволило добиться коренных изменений в принципах размещения промышленности по территории страны; обеспечило рост хозяйства и культуры; обусловило повышение уровня развития крайне отсталых национальных окраин до показателей, сравнимых с наиболее развитыми районами. Индустриализация и проводимая в советский период военная политика позволили СССР занять позицию мирового лидерства в отраслях военно-промышленного комплекса.</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Однако сформировавшиеся в советский период механизмы управления хозяйственной деятельностью страны, основу которых составлял отраслевой подход, а также сложившаяся топливно-сырьевая ориентация производства и приоритетные позиции военно-промышленного комплекса привели к глубокому кризису экономики России в конце ХХ века. При этом самые серьезные негативные последствия проявились в отраслях, от которых напрямую зависело развитие страны и жизнеобеспечение населения, – в машиностроении и высокотехнологичных производствах и текстильной промышленности. Это повлекло за собой резкое снижение спроса на научные исследования и разработки. Усилил негативные последствия спад в инвестиционной сфере.</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Рост производства и стабилизация макроэкономической ситуации, наблюдавшиеся после дефолта 1998 года и финансового кризиса 2008 года, не привели к решению самых острых и сложных противоречий российской экономики. Даже при относительно высоких темпах роста на протяжении последних лет, структура экономики России по-прежнему ориентирована на экспорт сырьевых ресурсов. Это обусловливает высокую зависимость от мировых цен на энергоресурсы и финансово-экономического положения в развитых странах.</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lastRenderedPageBreak/>
        <w:t>В настоящее время уровень развития промышленности России значительно ниже, чем в развитых странах. Это связано с недостаточным развитием отраслей, формирующих шестой те</w:t>
      </w:r>
      <w:r w:rsidR="00C04DD9">
        <w:rPr>
          <w:rFonts w:ascii="Times New Roman" w:hAnsi="Times New Roman" w:cs="Times New Roman"/>
          <w:sz w:val="28"/>
          <w:szCs w:val="28"/>
        </w:rPr>
        <w:t>хнологический уклад (таблица 2.6</w:t>
      </w:r>
      <w:r w:rsidRPr="00801BA5">
        <w:rPr>
          <w:rFonts w:ascii="Times New Roman" w:hAnsi="Times New Roman" w:cs="Times New Roman"/>
          <w:sz w:val="28"/>
          <w:szCs w:val="28"/>
        </w:rPr>
        <w:t>). В объеме промышленной продукции всего 5% приходится на долю технологий пятого уровня, около 30% – на долю четвертого уровня и свыше 60% – на долю третьего. Российские эксперты сходятся во мнении, что в течение ближайших 10 лет (до 2015-2020 гг.) в экономике России будет преобладать четвертый технологический уклад, обладающий потенциалом развития в отраслях энергетического и электротехнического, химического и нефтяного машиностроения, в станкостроении и в приборостроении.</w:t>
      </w:r>
    </w:p>
    <w:p w:rsidR="001F73FC" w:rsidRDefault="00C04DD9" w:rsidP="00F26F89">
      <w:pPr>
        <w:spacing w:line="240" w:lineRule="auto"/>
        <w:jc w:val="right"/>
        <w:rPr>
          <w:rFonts w:ascii="Times New Roman" w:hAnsi="Times New Roman" w:cs="Times New Roman"/>
          <w:sz w:val="28"/>
          <w:szCs w:val="28"/>
        </w:rPr>
      </w:pPr>
      <w:r>
        <w:rPr>
          <w:rFonts w:ascii="Times New Roman" w:hAnsi="Times New Roman" w:cs="Times New Roman"/>
          <w:sz w:val="28"/>
          <w:szCs w:val="28"/>
        </w:rPr>
        <w:t>Таблица 2.6</w:t>
      </w:r>
      <w:r w:rsidR="001F73FC">
        <w:rPr>
          <w:rFonts w:ascii="Times New Roman" w:hAnsi="Times New Roman" w:cs="Times New Roman"/>
          <w:sz w:val="28"/>
          <w:szCs w:val="28"/>
        </w:rPr>
        <w:t xml:space="preserve"> </w:t>
      </w:r>
    </w:p>
    <w:p w:rsidR="001F73FC" w:rsidRPr="00801BA5" w:rsidRDefault="001F73FC" w:rsidP="00C04DD9">
      <w:pPr>
        <w:spacing w:line="360" w:lineRule="auto"/>
        <w:jc w:val="center"/>
        <w:rPr>
          <w:rFonts w:ascii="Times New Roman" w:hAnsi="Times New Roman" w:cs="Times New Roman"/>
          <w:sz w:val="28"/>
          <w:szCs w:val="28"/>
        </w:rPr>
      </w:pPr>
      <w:r w:rsidRPr="00801BA5">
        <w:rPr>
          <w:rFonts w:ascii="Times New Roman" w:hAnsi="Times New Roman" w:cs="Times New Roman"/>
          <w:sz w:val="28"/>
          <w:szCs w:val="28"/>
        </w:rPr>
        <w:t>Объем промышленной продукции по в</w:t>
      </w:r>
      <w:r w:rsidR="00C04DD9">
        <w:rPr>
          <w:rFonts w:ascii="Times New Roman" w:hAnsi="Times New Roman" w:cs="Times New Roman"/>
          <w:sz w:val="28"/>
          <w:szCs w:val="28"/>
        </w:rPr>
        <w:t>идам экономической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559"/>
        <w:gridCol w:w="851"/>
      </w:tblGrid>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Виды экономической деятельности</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Объемы, млрд. руб.</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Добыча топливно-энергетических полезных ископаемых</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5464</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19,8</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Добыча полезных ископаемых, кроме топливно-энергетических</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748</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2,7</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пищевых продуктов</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3195</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11,6</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Текстильное и швейное производство, производство обуви</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180</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0,7</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Обработка древесины и производство изделий из дерева</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254</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0,9</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Целлюлозно-бумажное производство, издательская и полиграфическая деятельность</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588</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2,1</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кокса и нефтепродуктов</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3485</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12,6</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Химическое производство</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1409</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5,1</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резиновых и пластмассовых изделий</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479</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1,7</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прочих неметаллических минеральных продуктов</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805</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2,9</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Металлургическое производство и производство готовых металлических изделий</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3357</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122</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машин и оборудования</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939</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3,4</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электрооборудования, электронного и оптического оборудования</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1032</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3,7</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транспортных средств и оборудования</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1645</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6,0</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Прочие производства</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414</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1,5</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Производство и распределение электроэнергии, газа и воды</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3616</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13,1</w:t>
            </w:r>
          </w:p>
        </w:tc>
      </w:tr>
      <w:tr w:rsidR="00C04DD9" w:rsidRPr="00801BA5" w:rsidTr="00C04DD9">
        <w:tc>
          <w:tcPr>
            <w:tcW w:w="7054"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Итого</w:t>
            </w:r>
          </w:p>
        </w:tc>
        <w:tc>
          <w:tcPr>
            <w:tcW w:w="1559"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27610</w:t>
            </w:r>
          </w:p>
        </w:tc>
        <w:tc>
          <w:tcPr>
            <w:tcW w:w="851" w:type="dxa"/>
            <w:shd w:val="clear" w:color="auto" w:fill="auto"/>
            <w:vAlign w:val="center"/>
          </w:tcPr>
          <w:p w:rsidR="00C04DD9" w:rsidRPr="00F26F89" w:rsidRDefault="00C04DD9" w:rsidP="00C04DD9">
            <w:pPr>
              <w:spacing w:line="240" w:lineRule="auto"/>
              <w:jc w:val="both"/>
              <w:rPr>
                <w:rFonts w:ascii="Times New Roman" w:hAnsi="Times New Roman" w:cs="Times New Roman"/>
                <w:sz w:val="18"/>
                <w:szCs w:val="18"/>
              </w:rPr>
            </w:pPr>
            <w:r w:rsidRPr="00F26F89">
              <w:rPr>
                <w:rFonts w:ascii="Times New Roman" w:hAnsi="Times New Roman" w:cs="Times New Roman"/>
                <w:sz w:val="18"/>
                <w:szCs w:val="18"/>
              </w:rPr>
              <w:t>100</w:t>
            </w:r>
          </w:p>
        </w:tc>
      </w:tr>
    </w:tbl>
    <w:p w:rsidR="00C04DD9" w:rsidRDefault="00C04DD9" w:rsidP="001F73FC">
      <w:pPr>
        <w:spacing w:line="360" w:lineRule="auto"/>
        <w:ind w:firstLine="708"/>
        <w:jc w:val="both"/>
        <w:rPr>
          <w:rFonts w:ascii="Times New Roman" w:hAnsi="Times New Roman" w:cs="Times New Roman"/>
          <w:sz w:val="28"/>
          <w:szCs w:val="28"/>
        </w:rPr>
      </w:pP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lastRenderedPageBreak/>
        <w:t xml:space="preserve">Решением обозначенной проблемы может являться развитие глобальных конкурентных преимуществ. В качестве примера, можно привести историю становления Голландии как державы с одним из крупнейших в мире флотов благодаря открытию возможности преобразовывать энергию ветра на ветряных мельницах в поступательное движение. Подобных примеров в истории немало. </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Российское конкурентное преимущество – наличие значительных запасов сырьевых ресурсов – с одной стороны, является фактором, замедляющим переход к новым технологиям, но с другой, оно выступает материальной базой данного перехода. Показательный пример смены технологического уклада произошел в нашей стране в 1920 г., когда был внедрен план электрификации России – ГОЭЛРО.</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Однако последнее глобальное промышленное перевооружение нашей страны произошло в период довоенных и послевоенных пятилеток, в течение которого было построено более 9 тыс. крупных промышленных предприятий. За 19 лет в Советском Союзе индустриальное производство было увеличено практически в 70 раз – с уровня отстающих стран до состояния одного из мировых лидеров, а промышленное – более чем в 20.</w:t>
      </w:r>
    </w:p>
    <w:p w:rsidR="001F73FC" w:rsidRPr="001463B7"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Переход к новому укладу обусловливает необходимость в новых технологичных производствах, исследовательских центрах и лабораториях, системе защиты национального рынка. Согласно С.Ю.Глазьеву, ядром шестого технологического уклада являются: наноэлектроника; молекулярная и нанофотоника; наноматериалы и наноструктурированные покрытия; нанобиотехнологии; наносистемная техника. При этом преимущественными характеристиками шестого технологического уклада по сравнению с предыдущим можно назвать низкую энергоемкость и материалоемкость производства, а также возможность конструирования материалов и организмов с заранее заданными свойствами.</w:t>
      </w:r>
    </w:p>
    <w:p w:rsidR="001F73FC" w:rsidRDefault="00C04DD9" w:rsidP="001F73FC">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2.7</w:t>
      </w:r>
      <w:r w:rsidR="001F73FC" w:rsidRPr="00801BA5">
        <w:rPr>
          <w:rFonts w:ascii="Times New Roman" w:hAnsi="Times New Roman" w:cs="Times New Roman"/>
          <w:sz w:val="28"/>
          <w:szCs w:val="28"/>
        </w:rPr>
        <w:t xml:space="preserve"> </w:t>
      </w:r>
    </w:p>
    <w:p w:rsidR="001F73FC" w:rsidRPr="00801BA5" w:rsidRDefault="001F73FC" w:rsidP="001F73FC">
      <w:pPr>
        <w:spacing w:line="360" w:lineRule="auto"/>
        <w:jc w:val="center"/>
        <w:rPr>
          <w:rFonts w:ascii="Times New Roman" w:hAnsi="Times New Roman" w:cs="Times New Roman"/>
          <w:sz w:val="28"/>
          <w:szCs w:val="28"/>
        </w:rPr>
      </w:pPr>
      <w:r w:rsidRPr="00801BA5">
        <w:rPr>
          <w:rFonts w:ascii="Times New Roman" w:hAnsi="Times New Roman" w:cs="Times New Roman"/>
          <w:sz w:val="28"/>
          <w:szCs w:val="28"/>
        </w:rPr>
        <w:t>Динамика удельного веса инновационных товаров, работ, услуг в общем объеме отгруженных товаров, выполненных</w:t>
      </w:r>
      <w:r w:rsidR="00C04DD9">
        <w:rPr>
          <w:rFonts w:ascii="Times New Roman" w:hAnsi="Times New Roman" w:cs="Times New Roman"/>
          <w:sz w:val="28"/>
          <w:szCs w:val="28"/>
        </w:rPr>
        <w:t xml:space="preserve"> работ, услу</w:t>
      </w:r>
      <w:r w:rsidR="00F26F89">
        <w:rPr>
          <w:rFonts w:ascii="Times New Roman" w:hAnsi="Times New Roman" w:cs="Times New Roman"/>
          <w:sz w:val="28"/>
          <w:szCs w:val="28"/>
        </w:rPr>
        <w:t xml:space="preserve">г в период </w:t>
      </w:r>
      <w:r w:rsidR="00C04DD9">
        <w:rPr>
          <w:rFonts w:ascii="Times New Roman" w:hAnsi="Times New Roman" w:cs="Times New Roman"/>
          <w:sz w:val="28"/>
          <w:szCs w:val="28"/>
        </w:rPr>
        <w:t>2009-13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844"/>
        <w:gridCol w:w="845"/>
        <w:gridCol w:w="845"/>
        <w:gridCol w:w="844"/>
        <w:gridCol w:w="845"/>
        <w:gridCol w:w="1022"/>
      </w:tblGrid>
      <w:tr w:rsidR="001F73FC" w:rsidRPr="00801BA5" w:rsidTr="00F26F89">
        <w:tc>
          <w:tcPr>
            <w:tcW w:w="4219"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2009</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2010</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2011</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2012</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2013</w:t>
            </w:r>
          </w:p>
        </w:tc>
        <w:tc>
          <w:tcPr>
            <w:tcW w:w="1022"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Темп роста, раз</w:t>
            </w:r>
          </w:p>
        </w:tc>
      </w:tr>
      <w:tr w:rsidR="001F73FC" w:rsidRPr="00801BA5" w:rsidTr="00F26F89">
        <w:tc>
          <w:tcPr>
            <w:tcW w:w="4219"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Удельный вес инновационных товаров, работ, услуг в общем объеме отгруженных товаров, выполненных работ, услуг</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4,5</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4,8</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6,3</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8,0</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9,2</w:t>
            </w:r>
          </w:p>
        </w:tc>
        <w:tc>
          <w:tcPr>
            <w:tcW w:w="1022"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2,0</w:t>
            </w:r>
          </w:p>
        </w:tc>
      </w:tr>
      <w:tr w:rsidR="001F73FC" w:rsidRPr="00801BA5" w:rsidTr="00F26F89">
        <w:tc>
          <w:tcPr>
            <w:tcW w:w="4219"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Удельный вес инновационных товаров, работ, услуг в общем объеме отгруженных товаров, выполненных работ, услуг организаций промышленного производства</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4,6</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4,9</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6,1</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7,8</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8,9</w:t>
            </w:r>
          </w:p>
        </w:tc>
        <w:tc>
          <w:tcPr>
            <w:tcW w:w="1022"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1,9</w:t>
            </w:r>
          </w:p>
        </w:tc>
      </w:tr>
      <w:tr w:rsidR="001F73FC" w:rsidRPr="00801BA5" w:rsidTr="00F26F89">
        <w:tc>
          <w:tcPr>
            <w:tcW w:w="4219"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Удельный вес инновационных товаров, работ, услуг в общем объеме отгруженных товаров, выполненных работ, услуг организаций сферы услуг</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3,2</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4,0</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8,3</w:t>
            </w:r>
          </w:p>
        </w:tc>
        <w:tc>
          <w:tcPr>
            <w:tcW w:w="844"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9,6</w:t>
            </w:r>
          </w:p>
        </w:tc>
        <w:tc>
          <w:tcPr>
            <w:tcW w:w="845"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11,2</w:t>
            </w:r>
          </w:p>
        </w:tc>
        <w:tc>
          <w:tcPr>
            <w:tcW w:w="1022" w:type="dxa"/>
            <w:shd w:val="clear" w:color="auto" w:fill="auto"/>
            <w:vAlign w:val="center"/>
          </w:tcPr>
          <w:p w:rsidR="001F73FC" w:rsidRPr="00C04DD9" w:rsidRDefault="001F73FC" w:rsidP="00C04DD9">
            <w:pPr>
              <w:spacing w:line="240" w:lineRule="auto"/>
              <w:jc w:val="both"/>
              <w:rPr>
                <w:rFonts w:ascii="Times New Roman" w:hAnsi="Times New Roman" w:cs="Times New Roman"/>
                <w:sz w:val="24"/>
                <w:szCs w:val="24"/>
              </w:rPr>
            </w:pPr>
            <w:r w:rsidRPr="00C04DD9">
              <w:rPr>
                <w:rFonts w:ascii="Times New Roman" w:hAnsi="Times New Roman" w:cs="Times New Roman"/>
                <w:sz w:val="24"/>
                <w:szCs w:val="24"/>
              </w:rPr>
              <w:t>3,5</w:t>
            </w:r>
          </w:p>
        </w:tc>
      </w:tr>
    </w:tbl>
    <w:p w:rsidR="001F73FC" w:rsidRPr="00801BA5" w:rsidRDefault="001F73FC" w:rsidP="001F73FC">
      <w:pPr>
        <w:spacing w:line="360" w:lineRule="auto"/>
        <w:jc w:val="both"/>
        <w:rPr>
          <w:rFonts w:ascii="Times New Roman" w:hAnsi="Times New Roman" w:cs="Times New Roman"/>
          <w:sz w:val="28"/>
          <w:szCs w:val="28"/>
        </w:rPr>
      </w:pPr>
    </w:p>
    <w:p w:rsidR="001F73FC" w:rsidRPr="001463B7" w:rsidRDefault="00C04DD9" w:rsidP="001F73F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таблице 2.7</w:t>
      </w:r>
      <w:r w:rsidR="001F73FC" w:rsidRPr="00801BA5">
        <w:rPr>
          <w:rFonts w:ascii="Times New Roman" w:hAnsi="Times New Roman" w:cs="Times New Roman"/>
          <w:sz w:val="28"/>
          <w:szCs w:val="28"/>
        </w:rPr>
        <w:t xml:space="preserve"> представлены данные, характеризующие динамику удельного веса инновационных товаров, работ, услуг в общем объеме отгруженных товаров, выполненных работ, услуг в период с 2009 по 2013 годы. Из таблицы видно, что удельный вес инновационных товаров, работ, услуг в общем объеме отгруженных товаров, выполненных работ, услуг по экономике в целом в 2013 году находился на уровне в 9,2%, причем с 2009 года это значение увеличилось в 2 раза. В то же время удельный вес инновационных товаров, работ, услуг в общем объеме отгруженных товаров, выполненных работ, услуг организаций промышленного производства в 2013 находился на несколько меньшем уровне, чем по экономике в целом – 8,9%. Также и прирост был продемонстрирован несколько слабее, нежели по экономике в целом – 1,9 раз. Однако при этом удельный вес инновационных товаров, работ, услуг в общем объеме отгруженных товаров, выполненных работ, услуг организаций сферы услуг находится на ощутимо более высоком </w:t>
      </w:r>
      <w:r w:rsidR="001F73FC" w:rsidRPr="00801BA5">
        <w:rPr>
          <w:rFonts w:ascii="Times New Roman" w:hAnsi="Times New Roman" w:cs="Times New Roman"/>
          <w:sz w:val="28"/>
          <w:szCs w:val="28"/>
        </w:rPr>
        <w:lastRenderedPageBreak/>
        <w:t>уровне, чем в промышленности – 11,2%, а за рассматриваемые годы этот показатель увеличился в 3,5 раза.</w:t>
      </w:r>
    </w:p>
    <w:p w:rsidR="001F73FC" w:rsidRPr="00801BA5" w:rsidRDefault="001F73FC" w:rsidP="001F73FC">
      <w:pPr>
        <w:spacing w:line="360" w:lineRule="auto"/>
        <w:ind w:firstLine="708"/>
        <w:jc w:val="both"/>
        <w:rPr>
          <w:rFonts w:ascii="Times New Roman" w:hAnsi="Times New Roman" w:cs="Times New Roman"/>
          <w:sz w:val="28"/>
          <w:szCs w:val="28"/>
        </w:rPr>
      </w:pPr>
      <w:r w:rsidRPr="00801BA5">
        <w:rPr>
          <w:rFonts w:ascii="Times New Roman" w:hAnsi="Times New Roman" w:cs="Times New Roman"/>
          <w:sz w:val="28"/>
          <w:szCs w:val="28"/>
        </w:rPr>
        <w:t>Таким образом, по итогам проведенного анализа, можно сделать вывод о том, что сектор промышленных производств, занимающий важное место в национальной экономике, и развивавшийся опережающими темпами в начале 2000-х годов, в последние годы столкнулся с рядом проблем, среди которых превалируют общее снижение эффективности производства и производительности труда. Негативное влияние данных факторов в перспективе может только усилиться, что следует из замедления инвестиций в основной капитал и снижения темпов роста общего объема промышленного производства. Между тем, качественному решению данных проблем может способствовать развитие отраслей нового технологического уклада. Данный шаг требует активной разработки и внедрения инноваций в реальное производство. При этом актуализируется необходимость осуществления в данном направлении мероприятий на государственном уровне.</w:t>
      </w:r>
    </w:p>
    <w:p w:rsidR="001F73FC" w:rsidRPr="008C6DAF" w:rsidRDefault="001F73FC" w:rsidP="001F73FC">
      <w:pPr>
        <w:spacing w:after="0"/>
        <w:jc w:val="both"/>
        <w:rPr>
          <w:rFonts w:ascii="Times New Roman" w:eastAsia="Times New Roman" w:hAnsi="Times New Roman" w:cs="Times New Roman"/>
          <w:sz w:val="28"/>
          <w:szCs w:val="28"/>
        </w:rPr>
      </w:pPr>
    </w:p>
    <w:p w:rsidR="00E46E46" w:rsidRDefault="00E46E46"/>
    <w:p w:rsidR="001F73FC" w:rsidRDefault="001F73FC"/>
    <w:p w:rsidR="001F73FC" w:rsidRDefault="001F73FC"/>
    <w:p w:rsidR="001F73FC" w:rsidRDefault="001F73FC"/>
    <w:p w:rsidR="00F26F89" w:rsidRDefault="00F26F89"/>
    <w:p w:rsidR="00F26F89" w:rsidRDefault="00F26F89"/>
    <w:p w:rsidR="00F26F89" w:rsidRDefault="00F26F89"/>
    <w:p w:rsidR="00F26F89" w:rsidRDefault="00F26F89"/>
    <w:p w:rsidR="00F26F89" w:rsidRDefault="00F26F89"/>
    <w:p w:rsidR="00F26F89" w:rsidRDefault="00F26F89"/>
    <w:p w:rsidR="001F73FC" w:rsidRDefault="001F73FC"/>
    <w:p w:rsidR="001F73FC" w:rsidRDefault="001F73FC"/>
    <w:p w:rsidR="005037F1" w:rsidRPr="00F333FE" w:rsidRDefault="005037F1" w:rsidP="005037F1">
      <w:pPr>
        <w:pStyle w:val="normal"/>
        <w:ind w:firstLine="709"/>
        <w:jc w:val="center"/>
        <w:rPr>
          <w:szCs w:val="28"/>
        </w:rPr>
      </w:pPr>
      <w:r w:rsidRPr="00F333FE">
        <w:rPr>
          <w:szCs w:val="28"/>
        </w:rPr>
        <w:lastRenderedPageBreak/>
        <w:t>§ 2.2. Противоречия в развитии производственной инфраст</w:t>
      </w:r>
      <w:r w:rsidR="00232908">
        <w:rPr>
          <w:szCs w:val="28"/>
        </w:rPr>
        <w:t>руктуры промышленного комплекса</w:t>
      </w:r>
    </w:p>
    <w:p w:rsidR="005037F1" w:rsidRDefault="005037F1" w:rsidP="005037F1">
      <w:pPr>
        <w:pStyle w:val="normal"/>
      </w:pPr>
    </w:p>
    <w:p w:rsidR="005037F1" w:rsidRDefault="005037F1" w:rsidP="005037F1">
      <w:pPr>
        <w:pStyle w:val="normal"/>
        <w:ind w:firstLine="709"/>
      </w:pPr>
      <w:r>
        <w:t>Прогресс российской экономики требует структурной перестройки народного хозяйства страны, перехода от ориентации преимущественно на добычу природных ресурсов к становлению и развитию инновационного производства. Инновационное общественное производство не может обойтись без соответствующей инфраструктуры, обеспечивающей его нормальное функционирование и выступающей тем самым одним из важнейших элементов современной экономики. Для успешного выполнения своей функции сама инфраструктура должна обладать высоким уровнем развития, однако в России она пока не отвечает этому требованию. Так, крайне низким остается уровень обновления производственных мощностей инфраструктуры (2-4 % в год). В результате износ основных фондов в сфере инфраструктуры составляет свыше 50 % (например, в газотранспортной отрасли – в среднем 56 %, нефтепроводов – 54,8 %, в электроэнергетике – 57,3 %, в транспортной системе – 55-70 % .</w:t>
      </w:r>
    </w:p>
    <w:p w:rsidR="005037F1" w:rsidRPr="00671E73" w:rsidRDefault="005037F1" w:rsidP="005037F1">
      <w:pPr>
        <w:pStyle w:val="normal"/>
        <w:ind w:firstLine="709"/>
      </w:pPr>
      <w:r>
        <w:t>Большая степень морального и физического износа основного капитала инфраструктурных подразделений и медленное его обновление снижают эффективность их функционирования на современном этапе развития российской экономики.</w:t>
      </w:r>
    </w:p>
    <w:p w:rsidR="005037F1" w:rsidRDefault="005037F1" w:rsidP="005037F1">
      <w:pPr>
        <w:pStyle w:val="normal"/>
        <w:ind w:firstLine="709"/>
      </w:pPr>
      <w:r>
        <w:t>Одним из важнейших процессов развития современной мировой экономики является формирование Глобальной инфраструктуры, включающей транспорт, связь, телекоммуникации и т.п. "Современная мировая экономика – прежде всего экономика динамических потоков, товаров, капиталов, информации, энергии ... и миграционных перемещений людских масс". Транспорт и гидроэнергетика – две жизненно необходимые сферы функционирования Глобальной инфраструктуры.</w:t>
      </w:r>
    </w:p>
    <w:p w:rsidR="005037F1" w:rsidRDefault="005037F1" w:rsidP="005037F1">
      <w:pPr>
        <w:pStyle w:val="normal"/>
        <w:ind w:firstLine="709"/>
      </w:pPr>
      <w:r>
        <w:t xml:space="preserve">В том, что касается транспорта, формирование Глобальной инфраструктуры происходит в постоянном поиске наиболее рациональных </w:t>
      </w:r>
      <w:r>
        <w:lastRenderedPageBreak/>
        <w:t>направлений работы мирового транспорта, отборе оптимальных маршрутов, обслуживающих мировые центры экономического роста. В результате растущей контейниризации грузоперевозок на смену окружным морским путям приходят внутриконтинентальные интермодальные коридоры, более короткие и в определенных промежутках более безопасные.</w:t>
      </w:r>
    </w:p>
    <w:p w:rsidR="005037F1" w:rsidRDefault="005037F1" w:rsidP="005037F1">
      <w:pPr>
        <w:pStyle w:val="normal"/>
        <w:ind w:firstLine="709"/>
      </w:pPr>
      <w:r>
        <w:t>Развитие Глобальной инфраструктуры осуществляется успешно в странах Запада, тогда как в Средней Азии этот процесс находится пока в начальной стадии. Средне-азиатский регион играет особую роль в процессе формирования Глобальной инфраструктуры. Значимость этого региона заключается в уникальности его положения на перекрестке образующихся основных материально-энергетических потоков, вокруг которых происходит концентрация интересов как великих держав, так и различных сопредельных государств.</w:t>
      </w:r>
    </w:p>
    <w:p w:rsidR="005037F1" w:rsidRDefault="005037F1" w:rsidP="005037F1">
      <w:pPr>
        <w:pStyle w:val="normal"/>
        <w:ind w:firstLine="709"/>
      </w:pPr>
      <w:r>
        <w:t>Между тем, ситуация в этих, теперь независимых странах, их будущее совсем не безразличны для России. Географическая близость к нашей стране, весьма длительное пребывание этого региона в составе одного общего государства, в значительной степени общая инфраструктура, тесные экономические связи, язык и многое другое объединяет нас.</w:t>
      </w:r>
    </w:p>
    <w:p w:rsidR="005037F1" w:rsidRDefault="005037F1" w:rsidP="005037F1">
      <w:pPr>
        <w:pStyle w:val="normal"/>
        <w:ind w:firstLine="709"/>
      </w:pPr>
      <w:r>
        <w:t>Однако очевидно, что среднеазиатский регион переживает период определенной нестабильности: экономические и социальные трудности его  общеизвестны. Они порождают конфликты или, по меньшей мере, способствуют их возникновению.</w:t>
      </w:r>
    </w:p>
    <w:p w:rsidR="005037F1" w:rsidRPr="0086039D" w:rsidRDefault="005037F1" w:rsidP="005037F1">
      <w:pPr>
        <w:pStyle w:val="normal"/>
        <w:ind w:firstLine="709"/>
      </w:pPr>
      <w:r>
        <w:t>В этой сложной ситуации ряд стран, в первую очередь КНР и США, проявляют повышенный интерес к нашей стране и проводят энергичную политику, в том числе направленную на усиление здесь своего влияния.</w:t>
      </w:r>
    </w:p>
    <w:p w:rsidR="005037F1" w:rsidRDefault="005037F1" w:rsidP="005037F1">
      <w:pPr>
        <w:pStyle w:val="normal"/>
        <w:ind w:firstLine="709"/>
      </w:pPr>
      <w:r>
        <w:t xml:space="preserve">В условиях глобализации мировой экономики и бурного научно-технического прогресса в области транспорта и коммуникаций такая специфика среднеазиатского региона превратила его в район потенциального глобального транзита, который основные внешние игроки пытаются отформатировать в соответствии с собственными интересами. Можно </w:t>
      </w:r>
      <w:r>
        <w:lastRenderedPageBreak/>
        <w:t>сказать, что Центральная Азия – находится в  фокусе изменений направленности динамических потоков между главными потенциальными участниками их образования, а именно: севером (Россия) и югом (Южная Азия); востоком (Китай и Ближний Восток) и западом (Европа). В результате, не обладая существенным в мировом масштабе экономическим или даже природно-ресурсным потенциалом, этот регион превратился в объект конкурентной борьбы за влияние на него со стороны ведущих мировых держав в лице США, Китая и России. После распада СССР Средняя Азия, будучи важнейшим континентальным коридором между Европой и Азией, превращается в регион стратегических интересов США, практически закрытым для них в советский период. Для экономического гиганта Китая она становится западным направлением для сотрудничества с Европой. Для России Средняя Азия была и остается жизненно важным регионом, где наша страна пытается создать интеграционную схему общего развития.</w:t>
      </w:r>
    </w:p>
    <w:p w:rsidR="005037F1" w:rsidRDefault="005037F1" w:rsidP="005037F1">
      <w:pPr>
        <w:pStyle w:val="normal"/>
        <w:ind w:firstLine="709"/>
      </w:pPr>
      <w:r>
        <w:t>Центрально-азиатский регион играет особую, ключевую роль в процессе формирования Глобальной инфраструктуры, являющейся материальным воплощением динамических потоков (грузов, информации, капиталов, человеческих ресурсов и т.п.). Между основными потенциальными центрами силы на евразийском континенте (США, Китаем и Россией) в самом упрощенном виде вырисовываются три основные модели формирования такого рода потоков, отвечающие интересам каждого из них.</w:t>
      </w:r>
    </w:p>
    <w:p w:rsidR="005037F1" w:rsidRDefault="005037F1" w:rsidP="005037F1">
      <w:pPr>
        <w:pStyle w:val="normal"/>
        <w:ind w:firstLine="709"/>
      </w:pPr>
      <w:r>
        <w:t xml:space="preserve">Американская модель использования географического положения Центральной Азии базируется на стремлении направить важные динамические потоки современного мира в обход России, что ограничит реализации ее ресурсно-экспортного и транзитного потенциала. Одновременно это также сузит возможности поставок природных ресурсов Китаю. Для этого предполагается соединить страны Центральной Азии через соответствующие инфраструктуры с Южной Азией (Индией, Пакистаном, далее с Японией и Южной Кореей). Это позволит перенаправить природные ресурсы Центральной Азии от России к югу и к западу, минуя ее </w:t>
      </w:r>
      <w:r>
        <w:lastRenderedPageBreak/>
        <w:t>территорию. Вместе с тем предполагаемый данной моделью вектор направленности транспортных коммуникаций от центра к западу отстраняет и Китай от ряда его районов-поставщиков природных ресурсов. Реализация этой конструкции частично удалась США, благодаря созданию нефтепровода Баку-Тбилиси-Джейхан, транспортирующему каспийскую нефть в Европу в обход России. Подобные же цели преследует ряд проектов транскаспийских трубопроводов и трансафганского газопровода, предполагающего транспортировку туркменского газа на юг, к портам Индийского океана через Афганистан, а также проект транспортного коридора ТРАСЕКА, проходящего из Азии в Европу по южному Кавказу. Дальнейшему продвижению концепции США мешают твердая позиция РФ относительно соблюдения международно-правового статуса Каспия, политическая нестабильность в Афганистане и ряде других стран региона, по территории которых предполагается прохождение транспортных коридоров, минующих Россию.</w:t>
      </w:r>
    </w:p>
    <w:p w:rsidR="005037F1" w:rsidRDefault="005037F1" w:rsidP="005037F1">
      <w:pPr>
        <w:pStyle w:val="normal"/>
        <w:ind w:firstLine="709"/>
      </w:pPr>
      <w:r>
        <w:t>Китайская модель формирования транспортной инфраструктуры строится на использовании срединного положения Центральной Азии для расширения экономических и других связей Китая с его быстро развивающимся внутренним рынком с наиболее крупными поставщиками сырья (Россией, ближневосточным регионом через Центральную Азию и другими ресурсо-экспортирующими регионами мира, включая саму Центральную Азию), с одной стороны, и с Европой как импортером китайской готовой продукции, с другой. Инфраструктура, соответствующая этой модели, ориентирована на разные регионы-поставщики природных ресурсов через сети трубопроводов и использование альтернативных и надежных маршрутов масштабных грузоперевозок (морских и сухопутных), а также на экспорт своих товаров, производимых в быстро развивающихся западных провинциях Китая.</w:t>
      </w:r>
    </w:p>
    <w:p w:rsidR="005037F1" w:rsidRDefault="005037F1" w:rsidP="005037F1">
      <w:pPr>
        <w:pStyle w:val="normal"/>
        <w:ind w:firstLine="709"/>
      </w:pPr>
      <w:r>
        <w:t xml:space="preserve">К настоящему времени Китаю удалось очень серьезно продвинуться в  реализации своей модели взаимодействия с внешним миром через </w:t>
      </w:r>
      <w:r>
        <w:lastRenderedPageBreak/>
        <w:t>Центральную Азию. В последнее десятилетие это государство – главный инициатор и участник крупнейших транспортно-логистических проектов в Центральной Азии, от которых зависит поддержание высоких темпов его экономического роста и обеспечение национальной безопасности. Нефтепровод «Казахстан-Китай» и газопровод ТУКК, ж/д магистраль ТАЖМ уже действуют, и объемы грузоперевозок по ним в будущем,  вероятно, будут только расти. Уже сегодня китайские компании добывают пятую часть казахской нефти и имеют внушительный «портфель газовых поставок» из Центральной Азии. Все это противоречит американским проектам по перенаправлению углеводородных ресурсов из Центральной Азии в сторону ЕС и Южной Азии. Одновременно успехи КНР по реализации собственных транспортно-инфраструктурных планов в Центральной Азии ослабили позиции Россию в отношении поставок и транзита углеводородов из Средней Азии через территорию нашей страны. Монопольное положение России в этом смысле завершилось.</w:t>
      </w:r>
    </w:p>
    <w:p w:rsidR="005037F1" w:rsidRDefault="005037F1" w:rsidP="005037F1">
      <w:pPr>
        <w:pStyle w:val="normal"/>
        <w:ind w:firstLine="709"/>
      </w:pPr>
      <w:r>
        <w:t xml:space="preserve">Между тем модель встраивания России в Глобальную инфраструктуру через Центральную Азию отвечает коренным интересам нашей страны. Этому способствуют размеры ее территории, географическая близость к центрально-азиатскому региону, с которым Россия имеет протяженную границу, длительное общее историческое прошлое с рядом его стран, возможность выхода к крупным потребителям российских товаров: западным районам Китая, странам Южной Азии. Нельзя сбрасывать со счетов и интерес к региону со стороны основных мировых держав. </w:t>
      </w:r>
    </w:p>
    <w:p w:rsidR="005037F1" w:rsidRDefault="005037F1" w:rsidP="005037F1">
      <w:pPr>
        <w:pStyle w:val="normal"/>
        <w:ind w:firstLine="709"/>
      </w:pPr>
      <w:r>
        <w:t xml:space="preserve">Россия, территория которой представляет естественный "мост" между Европой и Азией, имеет возможность осуществлять грузоперевозки между ними гораздо более коротким путем, используя сухопутные (Транссиб, БАМ, ТАЖМ) и морской маршруты (Севморпуть), и тем самым получать высокие экономические выгоды за счет оказания транзитных услуг. Однако, помимо транзитных грузов, Транссиб должен обслуживать экспортно-импортные и внутрироссийские, межрегиональные перевозки грузов. Энергоресурсы - </w:t>
      </w:r>
      <w:r>
        <w:lastRenderedPageBreak/>
        <w:t xml:space="preserve">главное, что поставляет Россия на мировой рынок. В результате в настоящее время Транссиб является одной из самых загруженных магистралей в мире, и его пропускные способности оказываются практически исчерпанными. Транзитный грузооборот Транссиба составляет при этом гораздо меньшую величину по сравнению с взаимным контейнерооборотом, перевозимым южным морским путем вокруг Евразийского континента. </w:t>
      </w:r>
    </w:p>
    <w:p w:rsidR="005037F1" w:rsidRDefault="005037F1" w:rsidP="005037F1">
      <w:pPr>
        <w:pStyle w:val="normal"/>
        <w:ind w:firstLine="709"/>
      </w:pPr>
      <w:r>
        <w:t>Задачу радикального увеличения транзитного потенциала территории России, вовлечения ее в формирующуюся Глобальную транспортно-коммуникационную сеть предлагается решать разными способами, которые в частности включают:</w:t>
      </w:r>
    </w:p>
    <w:p w:rsidR="005037F1" w:rsidRDefault="005037F1" w:rsidP="005037F1">
      <w:pPr>
        <w:pStyle w:val="normal"/>
        <w:ind w:firstLine="709"/>
      </w:pPr>
      <w:r>
        <w:t>Формирование российского транзита через среднеазиатское направление с использованием возможностей Таможенного союза и ЕЭП;</w:t>
      </w:r>
    </w:p>
    <w:p w:rsidR="005037F1" w:rsidRDefault="005037F1" w:rsidP="005037F1">
      <w:pPr>
        <w:pStyle w:val="normal"/>
        <w:ind w:firstLine="709"/>
      </w:pPr>
      <w:r>
        <w:t>Восстановление и развитие Северного морского пути;</w:t>
      </w:r>
    </w:p>
    <w:p w:rsidR="005037F1" w:rsidRDefault="005037F1" w:rsidP="005037F1">
      <w:pPr>
        <w:pStyle w:val="normal"/>
        <w:ind w:firstLine="709"/>
      </w:pPr>
      <w:r>
        <w:t>Создание новой, выделенной трансконтинентальной магистрали, специализированной на ускоренном транзите грузов через РФ.</w:t>
      </w:r>
    </w:p>
    <w:p w:rsidR="005037F1" w:rsidRDefault="005037F1" w:rsidP="005037F1">
      <w:pPr>
        <w:pStyle w:val="normal"/>
        <w:ind w:firstLine="709"/>
      </w:pPr>
      <w:r>
        <w:t xml:space="preserve">В настоящее время приоритетным направлением развития процесса встраивания России в Глобальную сеть становится модернизация Трансиба и БАМа. Однако амбициозная идея некоторых российских политиков о перехвате около половины контейнерооборота с Южного морского пути на Транссиб представляется в обозримом будущемвесьма трудной, поскольку большие финансовые вложения понадобятся только для того, чтобы обеспечить нынешний растущий спрос на реализацию внешнеторговых и межрегиональных грузоперевозок самой России. </w:t>
      </w:r>
    </w:p>
    <w:p w:rsidR="005037F1" w:rsidRDefault="005037F1" w:rsidP="005037F1">
      <w:pPr>
        <w:pStyle w:val="normal"/>
        <w:ind w:firstLine="709"/>
      </w:pPr>
      <w:r>
        <w:t xml:space="preserve">Помимо Транссиба и восстанавливающегося Севморпути, вторым по значимости сухопутным инфраструктурно-транспортным коридором для реализации транзитного потенциала РФ мог бы стать маршрут Восток-Запад через Среднюю Азию. Речь идет о транзите из северных и западных районов Китая через Казахстан и Россию в направлении Центральной и Восточной Европы. Китай активно развивает свои западные районы, создает там инфраструктуру и новые производства, формируя тем самым базу для </w:t>
      </w:r>
      <w:r>
        <w:lastRenderedPageBreak/>
        <w:t>будущего транзита через Казахстан и Россию в Европу. По мнению ряда экспертов, объем будущего транзита через среднеазиатские коридоры может сформироваться очень быстро, в течение ближайших нескольких лет. Поэтому России надо быть готовой к тому, чтобы успеть подхватить транзитный грузопоток и “заработать” на нем. Экономическое сотрудничество России со странами Южной Азии (прежде всего, с Индией) также весьма значимо для этого региона ввиду его огромного демографического потенциала и емкости внутреннего рынка.</w:t>
      </w:r>
    </w:p>
    <w:p w:rsidR="005037F1" w:rsidRDefault="005037F1" w:rsidP="005037F1">
      <w:pPr>
        <w:pStyle w:val="normal"/>
        <w:ind w:firstLine="709"/>
      </w:pPr>
      <w:r>
        <w:t>Для реализации преимуществ среднеазиатского направления транспортно-коммуникационного развития России большое значение приобретает использование потенциала Таможенного Союза и ЕЭП. Однако двойное участие Казахстана в международных интеграционных группировках с несовпадающими интересами несет риски Таможенному союзу. Примером служит ситуация вокруг пропускного пункта Хоргос на китайско-казахстанской границе, куда из КНР под видом сырья смогут беспошлинно завозиться практически готовые товары китайского производства и, подвергаясь здесь минимальной доработке, беспошлинно распространяться по общей таможенной территории уже в качестве казахстанской продукции. Отмечая некоторые подвижки в организации транзитных грузоперевозок из азиатских стран, пересекающих Россию и среднеазиатский регион, следует придерживаться осторожных оценок относительно возможности их быстрого и существенного увеличения даже при выполнении утвержденных планов. Так, при условии сохранения динамичного развития западных и центральных провинций Китая даже реализация проекта контейнерного поезда Чунцин - Дуйсбург позволит привлечь в сегменте контейнерных перевозок дополнительный грузопоток, который составит всего около 2% прогнозируемого контейнеропотока между Европой и Азией.</w:t>
      </w:r>
    </w:p>
    <w:p w:rsidR="005037F1" w:rsidRDefault="005037F1" w:rsidP="005037F1">
      <w:pPr>
        <w:pStyle w:val="normal"/>
        <w:ind w:firstLine="709"/>
      </w:pPr>
      <w:r>
        <w:t xml:space="preserve">Российская модель взаимодействия с внешним миром через Центральную Азию в идеале базируется на реализации транзитного </w:t>
      </w:r>
      <w:r>
        <w:lastRenderedPageBreak/>
        <w:t xml:space="preserve">потенциала нашей страны для наращивания экономического сотрудничества с Западным Китаем и странами Южной Азии (прежде всего с Индией и Пакистаном). При этом контейнерные перевозки по этому направлению и по Транссибу не являются конкурентами из-за ориентации обслуживания разных районов АТР. Транссиб направлен на восточные, наиболее развитые районы Китая, Японию, Южную Корею, ТАЖМ – на ЗападныйКитай. </w:t>
      </w:r>
    </w:p>
    <w:p w:rsidR="005037F1" w:rsidRDefault="005037F1" w:rsidP="005037F1">
      <w:pPr>
        <w:pStyle w:val="normal"/>
        <w:ind w:firstLine="709"/>
      </w:pPr>
      <w:r>
        <w:t xml:space="preserve">Сторонники максимального использования транзитного потенциала России выступают за создание новой железнодорожной транспортной системы, соединяющей западные и восточные границы нашей страны и обеспечивающей пропускную способность в десятки раз большую, чем в настоящее время. По их мнению, только в этом случае можно всерьез рассчитывать перехватить порядка половины контейнерного грузопотока между Азией и Европой, перевозимого по Южному морскому пути. Однако для реализации подобного мегапроекта необходимы огромные не только российские, но и иностранные инвестиции, привлечение которых пока остается нерешенной проблемой. </w:t>
      </w:r>
    </w:p>
    <w:p w:rsidR="005037F1" w:rsidRDefault="005037F1" w:rsidP="005037F1">
      <w:pPr>
        <w:pStyle w:val="normal"/>
        <w:ind w:firstLine="709"/>
      </w:pPr>
      <w:r>
        <w:t>К настоящему времени основной задачей России по отношению к Центральной Азии является сохранение и по возможности усиление ее позиций в этом регионе без ухудшения отношений с Китаем, США и Евросоюзом. Главный приоритет России в этом регионе – формирование устойчивой коммуникационно-транспортной основы для стратегического взаимодействия с Китаем, а также со странами Южной Азии (Индией, Пакистаном и др.). Использование транзитного  потенциала Средней Азии – наиболее важная составляющая этого взаимодействия. Это позволит создать весьма благоприятные условия для разнопланового взаимовыгодного сотрудничества с Китаем и заложить основу для реализации с нимм асштабных экономических проектов, включая инфраструктурные.</w:t>
      </w:r>
    </w:p>
    <w:p w:rsidR="005037F1" w:rsidRDefault="005037F1" w:rsidP="005037F1">
      <w:pPr>
        <w:pStyle w:val="normal"/>
        <w:ind w:firstLine="709"/>
      </w:pPr>
      <w:r>
        <w:t xml:space="preserve">Вместе с тем России следует идти на взаимодействие с крупными  интеграционными программами типа ЦАРЭС, учитывая то обстоятельство, что ограниченные возможности перевозок грузов в пакистанские порты через </w:t>
      </w:r>
      <w:r>
        <w:lastRenderedPageBreak/>
        <w:t xml:space="preserve">Афганистан объективно разворачивают всю транспортную систему, создаваемую этой группировкой, в сторону России, и основной поток грузов на внешние рынки, как предполагается, пойдет через Узбекистан, Казахстан и Россию в российские морские порты на Балтийском и Черном морях. В этом смысле, по всей видимости, ЦАРЭС будет нуждаться в развитии сотрудничества с Таможенным союзом и будет пытаться увеличить свое экономическое влияние в странах этой интеграционной организации. Россия не должна упустить исторический шанс встроиться в образующуюся на евразийском пространстве Глобальную сеть, которая в противном случае минует территорию нашей страны, оставив ее в стороне, что отразится на перспективах экономического развития нашей страны. При этом не следует игнорировать риск в частности негативного воздействия на Таможенный Союз со стороны мощной интеграционной программы в лице ЦАРЭС или подобных ей. </w:t>
      </w:r>
    </w:p>
    <w:p w:rsidR="005037F1" w:rsidRDefault="005037F1" w:rsidP="005037F1">
      <w:pPr>
        <w:pStyle w:val="normal"/>
        <w:ind w:firstLine="709"/>
      </w:pPr>
      <w:r>
        <w:t>Другие инфраструктурные проблемы Центральной Азии, связанные с преодолением дефицита водных и энергетических ресурсов ряда стран региона не являются объектом повышенного внимания со стороны США и ЕС, поскольку не затрагивают их собственных интересов. В свою очередь Китай как региональная и очень крупная держава, имеющая серьезные проблемы в этих областях, зачастую решает их самостоятельно, без согласования с соседними заинтересованными странами (пример тому – неурегулированная проблема водозабора из Черного Иртыша). Россия, накопившая в советский период большой опыт реализации крупных проектов водо- и энергообеспечения в странах Средней Азии, и в настоящее время располагает серьезными преимуществами в развитии сотрудничества в области водно-энергетической инфраструктуры этого региона, которые должны использоваться для развития ее интеграционных связей с этим регионом.</w:t>
      </w:r>
    </w:p>
    <w:p w:rsidR="005037F1" w:rsidRDefault="005037F1" w:rsidP="005037F1">
      <w:pPr>
        <w:pStyle w:val="normal"/>
        <w:ind w:firstLine="709"/>
      </w:pPr>
      <w:r>
        <w:t xml:space="preserve">За последние 10 лет Россия привлекла больше прямых иностранных инвестиций (ПИИ), чем Бразилия и Индия, но значительно меньше, чем </w:t>
      </w:r>
      <w:r>
        <w:lastRenderedPageBreak/>
        <w:t xml:space="preserve">Китай. По уровню ПИИ к ВВП (3,3%) Россия лишь незначительно отстает от лидера группы БРИКС — Китая (3,7%), но существенно опережает Бразилию (2,4%) и Индию (1,4%). По инвестициям в основной капитал Россия заняла более скромное место (третье по доле к ВВП), оставив позади только Бразилию. Недостаточный объем инвестиций в инфраструктуру на протяжении последних 10–20 лет отбросил Россию на 93-е  место в мире по показателю качества инфраструктуры согласно Отчету о глобальной конкурентоспособности за 2013–2014 годы, подготовленному Всемирным экономическим форумом. Китай и Индия занимают в рейтинге 74-ю и 85-ю позиции соответственно. На относительно высоком уровне (31-е место) в России находится только железнодорожная инфраструктура. В остальных областях (качество автомобильных дорог, инфраструктуры портов, инфраструктуры воздушного транспорта, электроснабжения) необходимы улучшения. В России разработаны многочисленные стратегии и программы, направленные на развитие инфраструктуры. Проанализировав их, специалисты EY составили карту планируемых проектов, классифицировав их по нескольким параметрам. За последние пять лет было заявлено о 325 инфраструктурных проектах, которые находятся сейчас на разных этапах реализации. Хотя более половины проанализированных проектов проходят стадию реализации, в действительности большинство из них откладываются, и степень их выполнения не подтверждена. </w:t>
      </w:r>
    </w:p>
    <w:p w:rsidR="005037F1" w:rsidRDefault="005037F1" w:rsidP="005037F1">
      <w:pPr>
        <w:pStyle w:val="normal"/>
        <w:ind w:firstLine="709"/>
      </w:pPr>
      <w:r>
        <w:t xml:space="preserve">В целом отсутствует четкий график осуществления запланированных проектов, что было отмечено нашими респондентами. Роль регионов в развитии транспортной инфраструктуры, особенно автодорожной (поскольку другая инфраструктура у нас в основном федерального ведения), является ключевой. Для примера могу привести данные о протяженности дорог: у нас более 600 тыс. км региональных дорог и только 50 тыс. км — федеральных. В сфере развития транспортной инфраструктуры Министерство уделяет основное внимание вопросам единой политики и стандартов развития транспортной инфраструктуры, координации усилий властей разного уровня, </w:t>
      </w:r>
      <w:r>
        <w:lastRenderedPageBreak/>
        <w:t xml:space="preserve">а также развитию инфраструктуры федерального подчинения. Недавно мы актуализировали Транспортную стратегию Российской Федерации на период до 2030 года, которая была одобрена в конце прошлого года Правительством РФ. Инструментом для реализации данной стратегии в настоящее время является Государственная программа «Развитие транспортной системы». </w:t>
      </w:r>
    </w:p>
    <w:p w:rsidR="005037F1" w:rsidRDefault="005037F1" w:rsidP="005037F1">
      <w:pPr>
        <w:pStyle w:val="normal"/>
        <w:ind w:firstLine="709"/>
      </w:pPr>
      <w:r>
        <w:t xml:space="preserve">Хорошим примером плодотворной работы Министерства и регионов являются координационные советы по развитию Московского и Санкт-Петербургского транспортных узлов, объединяющих соответственно Москву и Московскую область и Санкт-Петербург и Ленинградскую область, где совместно решаются в том числе вопросы по срокам и объемам строительства и ремонта. Это важно, поскольку, к примеру, до МКАД дорога может быть в ведении Москвы как субъекта Российской Федерации, а после — в федеральном, но везде необходимо обеспечить ее качество и скоординированную работу. </w:t>
      </w:r>
    </w:p>
    <w:p w:rsidR="005037F1" w:rsidRDefault="005037F1" w:rsidP="005037F1">
      <w:pPr>
        <w:pStyle w:val="normal"/>
        <w:ind w:firstLine="709"/>
      </w:pPr>
      <w:r>
        <w:t xml:space="preserve">Федеральные концессионные и инвестиционные проекты (участки автодорог на М1, М4, М11) дали мощный импульс для появления региональных транспортных проектов и развития необходимых управленческих компетенций на местах в регионах (аэропорт Пулково, ЗСД, мосты через Каму и Буй, путепроводы в Рязанской области и ряд других), при этом некоторые из этих региональных проектов (ЗСД, мосты через Каму и Буй) получили федеральную поддержку из средств Инвестиционного фонда РФ. </w:t>
      </w:r>
    </w:p>
    <w:p w:rsidR="005037F1" w:rsidRDefault="005037F1" w:rsidP="005037F1">
      <w:pPr>
        <w:pStyle w:val="normal"/>
        <w:ind w:firstLine="709"/>
      </w:pPr>
      <w:r>
        <w:t xml:space="preserve">Минтранс поддерживает возобновление активной деятельности Инвестиционного фонда, а также выделение средств из Фонда национального благосостояния на транспортную инфраструктуру. Без такой поддержки, с нашей точки зрения, реализация большинства крупномасштабных транспортных проектов невозможна. Проектный подход к бюджетной поддержке позволяет эффективнее распределять ограниченные ресурсы, поскольку стимулирует инициаторов проектов (в том числе регионы) к тому, чтобы лучше продумывать и готовить проекты по </w:t>
      </w:r>
      <w:r>
        <w:lastRenderedPageBreak/>
        <w:t xml:space="preserve">международным стандартам. Региональные дорожные фонды — источник долгосрочного финансирования региональной дорожной инфраструктуры. С 2013 года на базе позитивного опыта федеральных дорожных фондов начали действовать региональные дорожные фонды, с этого года — также и муниципальные. В результате источники финансирования реконструкции дорог для регионов фактически удвоились, причем эти источники являются целевыми. Они гарантированы, понятны и «не сгорают» в конце года. У регионов появляется возможность долгосрочного планирования инвестиций, привлечения долгосрочного финансирования со стороны частных инвесторов. Президентом Российской Федерации В. В. Путиным поставлена перед регионами амбициозная, но достижимая задача по удвоению протяженности реконструируемых и новых дорог по сравнению с предыдущим десятилетием. </w:t>
      </w:r>
    </w:p>
    <w:p w:rsidR="005037F1" w:rsidRDefault="005037F1" w:rsidP="005037F1">
      <w:pPr>
        <w:pStyle w:val="normal"/>
        <w:ind w:firstLine="709"/>
      </w:pPr>
      <w:r>
        <w:t>Отмечу, что на федеральном уровне у нас точно такая же задача по удвоению строительства дорог в ближайшее десятилетие по сравнению с предыдущим.</w:t>
      </w:r>
      <w:r w:rsidRPr="00AF7F0B">
        <w:t xml:space="preserve"> </w:t>
      </w:r>
      <w:r>
        <w:t xml:space="preserve">Конкурсное проектирование и долгосрочное планирование. Защитой от удорожания проектов на протяжении их жизненного цикла является переход к контрактам жизненного цикла, то есть заключение долгосрочных соглашений на проектирование, строительство и эксплуатацию. К сожалению, вынесение на концессионный конкурс стадии проектирования пока не типично для большинства российских транспортных объектов, хотя такие прецеденты и имеются, например проект строительства моста через Лену в районе Якутска. В этом проекте появилась возможность включить этап проектирования в конкурсную процедуру, так как требуются относительно небольшие земельные участки и риски по ним не столь велики, как в густонаселенных регионах. При создании протяженных линейных объектов в местах плотной жилой застройки вынесение на конкурс проектирования в рамках единого конкурса на строительство и эксплуатацию затруднено в связи со сложившейся системой подготовки территории строительства, высокими рисками изъятия земли и переносом сроков. Мы </w:t>
      </w:r>
      <w:r>
        <w:lastRenderedPageBreak/>
        <w:t>работаем над совершенствованием практики и законодательства в этой сфере.</w:t>
      </w:r>
    </w:p>
    <w:p w:rsidR="005037F1" w:rsidRDefault="005037F1" w:rsidP="005037F1">
      <w:pPr>
        <w:pStyle w:val="normal"/>
        <w:ind w:firstLine="709"/>
      </w:pPr>
      <w:r>
        <w:t>В мае прошлого года руководством страны было принято решение активизировать привлечение зарубежных подрядчиков, операторов, инвесторов и производителей в инфраструктурные проекты. Безусловно, мы крайне заинтересованы в появлении на нашем рынке профессиональных игроков. Автор видит два основных направления, которые необходимо проработать любому инвестору, заинтересованному в российской инфраструктуре. Это — формирование партнерской  сети в России, а также активное участие в обсуждении проектов и непосредственно в конкурсах.</w:t>
      </w:r>
    </w:p>
    <w:p w:rsidR="005037F1" w:rsidRDefault="005037F1" w:rsidP="005037F1">
      <w:pPr>
        <w:pStyle w:val="normal"/>
        <w:ind w:firstLine="709"/>
      </w:pPr>
      <w:r>
        <w:t>По инициативе ГК «Автодор» и при поддержке Министерства транспорта РФ недавно создана Национальная ассоциация инвесторов и операторов дорожной отрасли. Это независимая площадка, объединяющая ключевых профессиональных игроков на рынке дорожной инфраструктуры — российские и зарубежные строительные и проектные компании, которые являются операторами автомобильных дорог. Надеюсь, что налаживание прямых контактов между крупнейшими российскими и зарубежными игроками облегчит вхождение новых инвесторов на российский рынок. Помимо этого направления, мы по-прежнему уделяем большое внимание встречам и консультациям с инвесторами, презентациям проектов.</w:t>
      </w:r>
    </w:p>
    <w:p w:rsidR="005037F1" w:rsidRDefault="005037F1" w:rsidP="005037F1">
      <w:pPr>
        <w:pStyle w:val="normal"/>
        <w:ind w:firstLine="709"/>
      </w:pPr>
      <w:r>
        <w:t xml:space="preserve">Имеется призыв к заинтересованным компаниям не бояться участвовать в открытых конкурсах по привлечению инвесторов, концессионеров для реализации федеральных транспортных проектов. Наибольшее количество концессионных проектов запланировано в дорожной отрасли. В этом году ГК «Автодор» планирует около 10 крупных конкурсов, в частности на финансирование, строительство и эксплуатацию четырех пусковых комплексов Центральной кольцевой автомобильной дороги, двух участков новой трассы М-11 «Москва — Санкт-Петербург» (км 58 – км 149 и км 208 – км 258) и автомобильной дороги на Цемдолину, входящей в состав Новороссийского транспортного узла. Также будет объявлен </w:t>
      </w:r>
      <w:r>
        <w:lastRenderedPageBreak/>
        <w:t>инвестиционный конкурс на проектирование, реконструкцию и эксплуатацию участка трассы М-1 «Беларусь» (км 33 — км 132), и проведен тендер на операторские контракты для двух секций трассы М-4 «Дон» (км 21 — км 225 и км 1091 — км 1119). Мы готовим эти конкурсы с учетом лучшей международной и российской практики, стремясь сделать их максимально прозрачными и понятными для инвесторов. Уверен, что все заинтересованные компании, имеющие необходимые компетенции и ресурсную базу, смогут найти для себя интересную роль в одном из наших проектов. Наибольший объем инвестиций запланировано направить на развитие инфраструктуры железнодорожного транспорта. Основная их часть предназначена для осуществления проектов, предусмотренных планом развития скоростного и высокоскоростного железнодорожного движения на перспективу до 2030 года.</w:t>
      </w:r>
    </w:p>
    <w:p w:rsidR="005037F1" w:rsidRDefault="005037F1" w:rsidP="005037F1">
      <w:pPr>
        <w:pStyle w:val="normal"/>
        <w:ind w:firstLine="709"/>
      </w:pPr>
      <w:r>
        <w:t>Вторым по объему направлением планируемых инфраструктурных инвестиций является строительство автомобильных дорог и мостов. Большинство проектов относятся к сфере ответственности Государственной компании «Автодор» и (или) предусмотрены Транспортной стратегией Российской Федерации на период до 2030 года.</w:t>
      </w:r>
    </w:p>
    <w:p w:rsidR="005037F1" w:rsidRDefault="005037F1" w:rsidP="005037F1">
      <w:pPr>
        <w:pStyle w:val="normal"/>
        <w:ind w:firstLine="709"/>
      </w:pPr>
      <w:r>
        <w:t>Наибольшее количество проектов планируется реализовать в энергетике и водоснабжении (включая развитие инфраструктуры электро-, водо- и газоснабжения).</w:t>
      </w:r>
    </w:p>
    <w:p w:rsidR="005037F1" w:rsidRDefault="005037F1" w:rsidP="005037F1">
      <w:pPr>
        <w:pStyle w:val="normal"/>
        <w:ind w:firstLine="709"/>
      </w:pPr>
      <w:r>
        <w:t>Планом предусмотрено больше инфраструктурных проектов в области воздушного и морского транспорта, финансируемых за счет ГЧП, чем опирающихся только на государственную поддержку. В перечисленных сегментах планируется реализовать 39 проектов с участием частных инвесторов. Большинство инвестиционных проектов ведется в западнойчасти Российской Федерации, где выше плотность населения и экономическая активность по сравнению с регионами на востоке страны.</w:t>
      </w:r>
    </w:p>
    <w:p w:rsidR="005037F1" w:rsidRDefault="005037F1" w:rsidP="005037F1">
      <w:pPr>
        <w:pStyle w:val="normal"/>
        <w:ind w:firstLine="709"/>
      </w:pPr>
      <w:r>
        <w:lastRenderedPageBreak/>
        <w:t>Как свидетельствует опыт других стран, развитие инфраструктуры имеет благоприятные последствия, среди которых чаще всего указываются следующие:</w:t>
      </w:r>
    </w:p>
    <w:p w:rsidR="005037F1" w:rsidRDefault="005037F1" w:rsidP="005037F1">
      <w:pPr>
        <w:pStyle w:val="normal"/>
        <w:ind w:firstLine="709"/>
      </w:pPr>
      <w:r>
        <w:t xml:space="preserve">• Снижение производственных затрат </w:t>
      </w:r>
    </w:p>
    <w:p w:rsidR="005037F1" w:rsidRDefault="005037F1" w:rsidP="005037F1">
      <w:pPr>
        <w:pStyle w:val="normal"/>
        <w:ind w:firstLine="709"/>
      </w:pPr>
      <w:r>
        <w:t xml:space="preserve">• Рост национального производства/ВВП </w:t>
      </w:r>
    </w:p>
    <w:p w:rsidR="005037F1" w:rsidRDefault="005037F1" w:rsidP="005037F1">
      <w:pPr>
        <w:pStyle w:val="normal"/>
        <w:ind w:firstLine="709"/>
      </w:pPr>
      <w:r>
        <w:t xml:space="preserve">• Расширение доступа к трудовым ресурсам </w:t>
      </w:r>
    </w:p>
    <w:p w:rsidR="005037F1" w:rsidRDefault="005037F1" w:rsidP="005037F1">
      <w:pPr>
        <w:pStyle w:val="normal"/>
        <w:ind w:firstLine="709"/>
      </w:pPr>
      <w:r>
        <w:t xml:space="preserve">• Усиление конкуренции </w:t>
      </w:r>
    </w:p>
    <w:p w:rsidR="005037F1" w:rsidRDefault="005037F1" w:rsidP="005037F1">
      <w:pPr>
        <w:pStyle w:val="normal"/>
        <w:ind w:firstLine="709"/>
      </w:pPr>
      <w:r>
        <w:t xml:space="preserve">• Увеличение притока инвестиций </w:t>
      </w:r>
    </w:p>
    <w:p w:rsidR="005037F1" w:rsidRDefault="005037F1" w:rsidP="005037F1">
      <w:pPr>
        <w:pStyle w:val="normal"/>
        <w:ind w:firstLine="709"/>
      </w:pPr>
      <w:r>
        <w:t xml:space="preserve">• Реорганизация землепользования </w:t>
      </w:r>
    </w:p>
    <w:p w:rsidR="005037F1" w:rsidRDefault="005037F1" w:rsidP="005037F1">
      <w:pPr>
        <w:pStyle w:val="normal"/>
        <w:ind w:firstLine="709"/>
      </w:pPr>
      <w:r>
        <w:t xml:space="preserve">• Возможность развития ранее недоступных территорий. </w:t>
      </w:r>
    </w:p>
    <w:p w:rsidR="005037F1" w:rsidRDefault="005037F1" w:rsidP="005037F1">
      <w:pPr>
        <w:pStyle w:val="normal"/>
        <w:ind w:firstLine="709"/>
        <w:rPr>
          <w:szCs w:val="28"/>
        </w:rPr>
      </w:pPr>
    </w:p>
    <w:p w:rsidR="005037F1" w:rsidRDefault="005037F1" w:rsidP="005037F1">
      <w:pPr>
        <w:pStyle w:val="normal"/>
        <w:ind w:firstLine="709"/>
      </w:pPr>
      <w:r>
        <w:t xml:space="preserve">Задача развития инфраструктуры вышла на первый план  в экономической политике России, поскольку к началу  2014 года стало ясно, что для роста национальной экономики необходимы масштабные внутренние инвестиции, особенно такие, которые позволят ее диверсифицировать и снизить зависимость от добывающих отраслей. В первом квартале 2014 года рост ВВП ожидался лишь на уровне 1,4%. При этом очевидна решимость властей направить усилия на увеличение внутренних инвестиций и сдерживание инфляции. Последние события оказали негативное влияние на экономику, вызвав отток капитала одновременно с ослаблением рубля. Это повлекло за собой вынужденное повышение внутренних процентных ставок. Кроме того, ожидается более высокий уровень инфляции. По крайней мере в краткосрочной перспективе улучшение инвестиционного климата в частном секторе представляется маловероятным. </w:t>
      </w:r>
    </w:p>
    <w:p w:rsidR="005037F1" w:rsidRDefault="005037F1" w:rsidP="005037F1">
      <w:pPr>
        <w:pStyle w:val="normal"/>
        <w:ind w:firstLine="709"/>
      </w:pPr>
      <w:r>
        <w:t xml:space="preserve">В сложившихся условиях российское правительство еще больше стремится активизировать процесс осуществления инфраструктурных проектов: направляемые в данную сферу инвестиции помогут поддержать экономику. По всей видимости, особое внимание будет уделяться реформам, необходимым для увеличения частных инвестиций, так как стало понятно, насколько это важно. Кроме того, власти будут способствовать реализации </w:t>
      </w:r>
      <w:r>
        <w:lastRenderedPageBreak/>
        <w:t xml:space="preserve">проектов государственно-частного партнерства (ГЧП), в связи с чем следует ожидать появления новых интересных возможностей для инвестиций. Министр экономического развития Алексей Улюкаев недавно объявил о планах финансирования семи новых крупных инфраструктурных проектов из средств Фонда национального благосостояния (ФНБ). Успешное выполнение этих и других уже начатых проектов способно существенно улучшить деловую среду, а также повысить уровень жизни в стране в целом. Рост производительности, сокращение сроков поездок, доступ к новым рынкам и новым направлениям для торговли и инвестиций — это лишь некоторые преимущества, которые люди, живущие и работающие в России, могут получить в результате развития и совершенствования ее инфраструктуры. </w:t>
      </w:r>
    </w:p>
    <w:p w:rsidR="005037F1" w:rsidRDefault="005037F1" w:rsidP="005037F1">
      <w:pPr>
        <w:pStyle w:val="normal"/>
        <w:ind w:firstLine="709"/>
      </w:pPr>
      <w:r>
        <w:t xml:space="preserve">Целью исследования является изучение текущего состояния российской инфраструктуры, инфраструктурной политики  и возможностей дальнейшего развития. Компания EY провела опрос и обобщила мнения представителей деловой среды и отраслевых экспертов. Группу респондентов можно разделить на три подгруппы: отраслевые специалисты, госслужащие и представители инвестиционного сообщества, а также крупные зарубежные инвесторы, работающие в России.  Полученные результаты в целом демонстрируют сходство ответов в разных подгруппах, однако в случае их расхождения отличия выделяются и подробно анализируются, а вопрос о том, понятны ли им стратегия и направление развития инфраструктуры в России, большинство респондентов (60%) ответили утвердительно, однако отметив, что не во всех областях. Из этого можно заключить, что они понимают стратегию в общих чертах, но им ясны не все ее аспекты.  Доля таких ответов находится в диапазоне от 52% (госслужащие и представители инвестиционного сообщества) до 67%  (крупные зарубежные инвесторы). В целом доля положительных ответов составила 78% («да» либо «да, но не во всех областях»). Это свидетельствует о том, что бизнес считает развитие инфраструктуры одним из важных вопросов и что участники исследования, представляющие различные группы, довольно хорошо информированы по </w:t>
      </w:r>
      <w:r>
        <w:lastRenderedPageBreak/>
        <w:t>поводу стратегии. Существуют два основных взгляда на вопрос о том, дадут ли инфраструктурные инвестиции мощный импульс развитию российской экономики. Отраслевые специалисты, а также госслужащие и представители инвестиционного сообщества в целом согласны с тем, что инфраструктурные инвестиции ускорят экономическое развитие (81% ответили утвердительно либо сказали, что согласны, но не во всех областях). Вместе с тем основная часть респондентов всей группы (45%) придерживаются того мнения, что инвестиции могут оказаться эффективными только в определенных областях. Отраслевые специалисты проявили больше скептицизма относительно универсального влияния, которое инфраструктурные инвестиции оказывают на экономический рост: 50% дали утвердительный ответ с оговоркой, 34% — утвердительный ответ. При этом ответы в подгруппе госслужащих и представителей инвестиционного сообщества распределились более равномерно: 37% и 39% соответственно.</w:t>
      </w:r>
    </w:p>
    <w:p w:rsidR="005037F1" w:rsidRDefault="005037F1" w:rsidP="005037F1">
      <w:pPr>
        <w:pStyle w:val="normal"/>
        <w:ind w:firstLine="709"/>
      </w:pPr>
      <w:r>
        <w:t xml:space="preserve">Среди крупных зарубежных инвесторов значительно больше тех, кто считает, что инфраструктурные инвестиции стимулируют экономический рост. 72% респондентов в этой подгруппе ответили на данный вопрос утвердительно, 28% — утвердительно с оговоркой. Такая точка зрения соответствует опыту двух крупных стран — США и Китая, — учредивших широкомасштабные инфраструктурные проекты для преодоления глобального экономического кризиса 2008–2009 годов. Несмотря на то что указанные проекты проводились с целью создания или сохранения миллионов рабочих мест и предотвращения дальнейшего экономического спада, в США поднимались вопросы об экономической целесообразности некоторых из них. </w:t>
      </w:r>
    </w:p>
    <w:p w:rsidR="005037F1" w:rsidRDefault="005037F1" w:rsidP="005037F1">
      <w:pPr>
        <w:pStyle w:val="normal"/>
        <w:ind w:firstLine="709"/>
      </w:pPr>
      <w:r>
        <w:t xml:space="preserve">Китай считает инфраструктурные инвестиции необходимым предварительным условием устойчивого экономического роста. По мнению китайского правительства, качественная инфраструктура представляет собой основу для построения современной экономики. Поэтому в Китае крупные капиталовложения в развитие инфраструктуры осуществлялись и до кризиса </w:t>
      </w:r>
      <w:r w:rsidR="00232908">
        <w:lastRenderedPageBreak/>
        <w:t>2008–2009 годов. Стоит отметить, что в период 20</w:t>
      </w:r>
      <w:r>
        <w:t>1</w:t>
      </w:r>
      <w:r w:rsidR="00232908">
        <w:t>1-14 гг.</w:t>
      </w:r>
      <w:r>
        <w:t xml:space="preserve"> инвестиции в строительство дорог в сельских региона</w:t>
      </w:r>
      <w:r w:rsidR="00232908">
        <w:t>х ежегодно увеличивались на 5,1%</w:t>
      </w:r>
      <w:r>
        <w:t>.</w:t>
      </w:r>
    </w:p>
    <w:p w:rsidR="005037F1" w:rsidRDefault="005037F1" w:rsidP="005037F1">
      <w:pPr>
        <w:pStyle w:val="normal"/>
        <w:ind w:firstLine="709"/>
      </w:pPr>
      <w:r>
        <w:t>В основном респонденты считают возможным использовать Фонд национального благосостояния для финансирования инвестиционных проектов, однако только 17% опрошенных указали, что такой ответ подходит для всех случаев. Большинство (52%) подчеркнули, что проекты, финансируемые за счет Фонда национального благосостояния, должны отвечать жестким требованиям. Меньшее, но существенное количество участников исследования (15%) ответили, что рассматривать следует только проекты федерального значения. Необходимо отметить, что крупные зарубежные инвесторы продемонстрировали намного меньшую готовность привлекать средства Фонда национального благосостояния (22% против использования средств ФНБ), чем отраслевые специалисты, а также госслужащие и представители инвестиционного сообщества (13%).</w:t>
      </w:r>
    </w:p>
    <w:p w:rsidR="005037F1" w:rsidRDefault="005037F1" w:rsidP="005037F1">
      <w:pPr>
        <w:pStyle w:val="normal"/>
        <w:ind w:firstLine="709"/>
      </w:pPr>
      <w:r>
        <w:t>В России накоплен довольно противоречивый опыт реализации мегапроектов. С одной стороны, благодаря им были созданы важнейшие инфраструктурные объекты. Среди них — Московский метрополитен и многочисленные гидроэлектростанции. С другой стороны, есть превысившие установленный бюджет или незавершенные мегапроекты.</w:t>
      </w:r>
    </w:p>
    <w:p w:rsidR="005037F1" w:rsidRDefault="005037F1" w:rsidP="005037F1">
      <w:pPr>
        <w:pStyle w:val="normal"/>
        <w:ind w:firstLine="709"/>
      </w:pPr>
      <w:r>
        <w:t xml:space="preserve">Столь противоречивый опыт повлиял на взгляды респондентов. Только 7% считают мегапроекты необходимыми. Большинство опрошенных (55%) полагают, что такие проекты могут быть эффективными при условии тщательного и сбалансированного планирования сопутствующей инфраструктуры, а также инвестиций в связанное с ними производство и социальную сферу. При этом госслужащие и представители инвестиционного сообщества настроены более пессимистично (39% считают более эффективными небольшие проекты, направленные на устранение имеющихся трудностей), чем отраслевые специалисты или крупные зарубежные инвесторы (соответственно 33% и 28%). В целом респонденты скептично смотрят на мегапроекты, но все же допускают, что они могут быть </w:t>
      </w:r>
      <w:r>
        <w:lastRenderedPageBreak/>
        <w:t>эффективными в подходящих условиях, при надлежащем планировании и должном  уровне реализации.</w:t>
      </w:r>
    </w:p>
    <w:p w:rsidR="005037F1" w:rsidRDefault="005037F1" w:rsidP="005037F1">
      <w:pPr>
        <w:pStyle w:val="normal"/>
        <w:ind w:firstLine="709"/>
      </w:pPr>
      <w:r>
        <w:t xml:space="preserve">Результаты исследования говорят о том, что основные улучшения необходимы в сфере планирования и регулирования  проектов. По мнению 69% респондентов, в том числе 78% крупнейших зарубежных инвесторов, обеспечение прозрачности и конкурентности тендерных процедур сделали бы инвестиции в российскую инфраструктуру более эффективными. Кроме  того, 57% считают, что улучшение качества подготовки и выбора проектов окажет благоприятное воздействие на эффективность инвестиций. </w:t>
      </w:r>
    </w:p>
    <w:p w:rsidR="005037F1" w:rsidRDefault="005037F1" w:rsidP="005037F1">
      <w:pPr>
        <w:pStyle w:val="normal"/>
        <w:ind w:firstLine="709"/>
      </w:pPr>
      <w:r>
        <w:t>Госслужащие и представители инвестиционного сообщества, а также крупные зарубежные инвесторы подчеркнули важность улучшения качества отбора проектов и подготовки к ним (соответственно 78% и 66%). В то же время 53% отраслевых специалистов отводят главную роль повышению прозрачности и конкурентности тендеров. Приблизительно треть респондентов считают полезными следующие меры: совершенствование механизмов привлечения государственного финансирования или поддержки, упрощение порядка согласования с государственными учреждениями проектов с участием зарубежных организаций, обладающих опытом осуществления аналогичных проектов. Высказанные респондентами мнения свидетельствуют о наличии возможности для совершенствования государственной политики и структуры регулирования. При этом ответственные за принятие решений лица смогут оказать наибольшее влияние, если сосредоточат внимание на качестве исполнения: тщательно спланированные проекты, реализуемые в результате прозрачных и конкурентных тендерных процедур, способны значительно повысить эффективность инфраструктурных инвестиций, обеспечить экономию государственных средств во время выполнения проектов и ускорение экономического роста в долгосрочной перспективе.</w:t>
      </w:r>
    </w:p>
    <w:p w:rsidR="005037F1" w:rsidRDefault="005037F1" w:rsidP="005037F1">
      <w:pPr>
        <w:pStyle w:val="normal"/>
        <w:ind w:firstLine="709"/>
      </w:pPr>
      <w:r>
        <w:t xml:space="preserve">По мнению большинства респондентов (51%), участие частных партнеров или инвесторов в инфраструктурных проектах (в том числе с </w:t>
      </w:r>
      <w:r>
        <w:lastRenderedPageBreak/>
        <w:t>использованием механизма ГЧП) повысило бы их эффективность. Следует отметить, что это обобщенное мнение: полностью с ним согласны только 45% отраслевых специалистов при том, что большинство госслужащих и представителей инвестиционного сообщества (59%), а также крупных зарубежных инвесторов (61%) считают привлечение частных инвесторов полезным. Меньшее, но все же существенное количество опрошенных (31%) указывают на то, что частные инвестиции способны принести пользу, но не очень большую. Только 15% респондентов полагают, что привлечение частных инвесторов не окажет позитивного влияния на эффективность государственных инвестиций в развитие инфраструктуры.</w:t>
      </w:r>
    </w:p>
    <w:p w:rsidR="005037F1" w:rsidRPr="00110EBC" w:rsidRDefault="005037F1" w:rsidP="005037F1">
      <w:pPr>
        <w:pStyle w:val="normal"/>
        <w:ind w:firstLine="709"/>
        <w:rPr>
          <w:color w:val="auto"/>
          <w:szCs w:val="28"/>
        </w:rPr>
      </w:pPr>
      <w:r w:rsidRPr="00110EBC">
        <w:rPr>
          <w:color w:val="auto"/>
          <w:szCs w:val="28"/>
        </w:rPr>
        <w:t>Каждая очередная длинная волна экономического развития вымывает из экономики лишь часть прежних продуктов и отраслей. Остающиеся в разной мере подвержены модернизации. Например, железнодорожный транспорт - один из символов (наряду с углем, текстилем) второй длинной волны. Его существенно потеснил автомобиль, олицетворяющий четвертую. Вместе с тем, железнодорожный транспорт, перейдя на электрическую тягу, впитав достижения автоматики, словно обрел второе дыхание.</w:t>
      </w:r>
    </w:p>
    <w:p w:rsidR="005037F1" w:rsidRPr="00110EBC" w:rsidRDefault="005037F1" w:rsidP="005037F1">
      <w:pPr>
        <w:pStyle w:val="normal"/>
        <w:ind w:firstLine="709"/>
        <w:rPr>
          <w:color w:val="auto"/>
          <w:szCs w:val="28"/>
        </w:rPr>
      </w:pPr>
      <w:r w:rsidRPr="00110EBC">
        <w:rPr>
          <w:color w:val="auto"/>
          <w:szCs w:val="28"/>
        </w:rPr>
        <w:t xml:space="preserve"> Металлорежущие станки с числовым программным управлением – еще один пример высокоэффективного соединения традиционных и новых технологий. Расширение производства нетканых материалов не привело к исчезновению ткачества. Оно освоило использование синтетических нитей. При всех изменениях очевидна преемственность в сельскохозяйственном производстве. Более того, сегодня заметной новацией в нем становится возврат к забытому старому, к экологически чистым технологиям. При принципиальном обновлении отраслевой технологии можно говорить о формировании новой отрасли. Так перевод электрогенерации на атомную основу по сути дела означал формирование новой отрасли.</w:t>
      </w:r>
    </w:p>
    <w:p w:rsidR="005037F1" w:rsidRPr="00110EBC" w:rsidRDefault="005037F1" w:rsidP="005037F1">
      <w:pPr>
        <w:pStyle w:val="normal"/>
        <w:ind w:firstLine="709"/>
        <w:rPr>
          <w:color w:val="auto"/>
          <w:szCs w:val="28"/>
        </w:rPr>
      </w:pPr>
      <w:r w:rsidRPr="00110EBC">
        <w:rPr>
          <w:color w:val="auto"/>
          <w:szCs w:val="28"/>
        </w:rPr>
        <w:t xml:space="preserve">Вопрос о взаимосвязи технологий и отраслей разных длинных волн важен для выработки структурной и научно-технической политики перехода к технологической базе новой длинной волны. Считается, что </w:t>
      </w:r>
      <w:r w:rsidRPr="00110EBC">
        <w:rPr>
          <w:color w:val="auto"/>
          <w:szCs w:val="28"/>
        </w:rPr>
        <w:lastRenderedPageBreak/>
        <w:t xml:space="preserve">инновационный рост как стратегическое направление развития глобальной экономики в предстоящие десятилетия будет обеспечиваться преимущественно за счет конвергенции технологий Помимо конкуренции старых и новых отраслей за ресурсы необходимо учитывать следующие типы межотраслевых связей: </w:t>
      </w:r>
    </w:p>
    <w:p w:rsidR="005037F1" w:rsidRPr="00110EBC" w:rsidRDefault="005037F1" w:rsidP="005037F1">
      <w:pPr>
        <w:pStyle w:val="normal"/>
        <w:ind w:firstLine="709"/>
        <w:rPr>
          <w:color w:val="auto"/>
          <w:szCs w:val="28"/>
        </w:rPr>
      </w:pPr>
      <w:r w:rsidRPr="00110EBC">
        <w:rPr>
          <w:color w:val="auto"/>
          <w:szCs w:val="28"/>
        </w:rPr>
        <w:t>1. Зрелые отрасли - источник первоначальных материальных и финансовых ресурсов (исходного капитала) для новых производств.</w:t>
      </w:r>
    </w:p>
    <w:p w:rsidR="005037F1" w:rsidRPr="00110EBC" w:rsidRDefault="005037F1" w:rsidP="005037F1">
      <w:pPr>
        <w:pStyle w:val="normal"/>
        <w:ind w:firstLine="709"/>
        <w:rPr>
          <w:color w:val="auto"/>
          <w:szCs w:val="28"/>
        </w:rPr>
      </w:pPr>
      <w:r w:rsidRPr="00110EBC">
        <w:rPr>
          <w:color w:val="auto"/>
          <w:szCs w:val="28"/>
        </w:rPr>
        <w:t>2. Зрелые отрасли предъявляют первичный (помимо военно-промышленного комплекса, непроизводственного потребления, экспорта) спрос на новую продукцию. Таким образом, возникает первый контур накопления в новых отраслях.</w:t>
      </w:r>
    </w:p>
    <w:p w:rsidR="005037F1" w:rsidRPr="00110EBC" w:rsidRDefault="005037F1" w:rsidP="005037F1">
      <w:pPr>
        <w:pStyle w:val="normal"/>
        <w:ind w:firstLine="709"/>
        <w:rPr>
          <w:color w:val="auto"/>
          <w:szCs w:val="28"/>
        </w:rPr>
      </w:pPr>
      <w:r w:rsidRPr="00110EBC">
        <w:rPr>
          <w:color w:val="auto"/>
          <w:szCs w:val="28"/>
        </w:rPr>
        <w:t>3. По мере укрепления этих отраслей возрастает роль их собственного спроса на новую продукцию, формируется второй контур накопления в новых отраслях (контур самонакопления). От широты охвата этих связей зависит точность представлений о закономерностях потока инвестиций в технологии и отрасли, олицетворяющие новый длинный цикл.</w:t>
      </w:r>
    </w:p>
    <w:p w:rsidR="005037F1" w:rsidRPr="00110EBC" w:rsidRDefault="005037F1" w:rsidP="005037F1">
      <w:pPr>
        <w:pStyle w:val="normal"/>
        <w:ind w:firstLine="709"/>
        <w:rPr>
          <w:color w:val="auto"/>
          <w:szCs w:val="28"/>
        </w:rPr>
      </w:pPr>
      <w:r w:rsidRPr="00110EBC">
        <w:rPr>
          <w:color w:val="auto"/>
          <w:szCs w:val="28"/>
        </w:rPr>
        <w:t xml:space="preserve">Традиционно формирование новой технологической базы экономики моделируется в теории длинных волн </w:t>
      </w:r>
      <w:r w:rsidRPr="00110EBC">
        <w:rPr>
          <w:color w:val="auto"/>
          <w:szCs w:val="28"/>
          <w:lang w:val="en-US"/>
        </w:rPr>
        <w:t>S</w:t>
      </w:r>
      <w:r w:rsidRPr="00110EBC">
        <w:rPr>
          <w:color w:val="auto"/>
          <w:szCs w:val="28"/>
        </w:rPr>
        <w:t xml:space="preserve">-образной логистической кривой. Однако это идеализированное описание перехода от фазы зарождения к фазе зрелости такой волны. Реально это переход сопровождается существенными пульсациями, что было отмечено еще на рубеже 1990-х. Мнения группируются вокруг того, одну или две вершины имеет интенсивность потока нововведений. Принимая во внимание все многообразие межотраслевых связей, можно выделить три вершины в динамике ресурсного обеспечения рассматриваемого потока. </w:t>
      </w:r>
    </w:p>
    <w:p w:rsidR="005037F1" w:rsidRPr="00110EBC" w:rsidRDefault="005037F1" w:rsidP="005037F1">
      <w:pPr>
        <w:pStyle w:val="normal"/>
        <w:ind w:firstLine="709"/>
        <w:rPr>
          <w:color w:val="auto"/>
          <w:szCs w:val="28"/>
        </w:rPr>
      </w:pPr>
      <w:r w:rsidRPr="00110EBC">
        <w:rPr>
          <w:color w:val="auto"/>
          <w:szCs w:val="28"/>
        </w:rPr>
        <w:t xml:space="preserve">Сосуществование и взаимодействие отраслей, воплощающих разные длинные волны технологического развития – один из факторов наблюдаемого уменьшения амплитуды этих волн. Расширение переходящего фонда технологий - весьма важный кумулятивный процесс долгосрочного технико-экономического развития выступает своего рода демпфером этого </w:t>
      </w:r>
      <w:r w:rsidRPr="00110EBC">
        <w:rPr>
          <w:color w:val="auto"/>
          <w:szCs w:val="28"/>
        </w:rPr>
        <w:lastRenderedPageBreak/>
        <w:t xml:space="preserve">развития, сохраняющим, тем не менее, его волновой характер. Поэтому </w:t>
      </w:r>
      <w:r w:rsidR="00232908">
        <w:rPr>
          <w:color w:val="auto"/>
          <w:szCs w:val="28"/>
        </w:rPr>
        <w:t>можно ожидать, что для очередного (шестого</w:t>
      </w:r>
      <w:r w:rsidRPr="00110EBC">
        <w:rPr>
          <w:color w:val="auto"/>
          <w:szCs w:val="28"/>
        </w:rPr>
        <w:t xml:space="preserve">) </w:t>
      </w:r>
      <w:r w:rsidR="00232908">
        <w:rPr>
          <w:color w:val="auto"/>
          <w:szCs w:val="28"/>
        </w:rPr>
        <w:t xml:space="preserve">технологического уклада </w:t>
      </w:r>
      <w:r w:rsidRPr="00110EBC">
        <w:rPr>
          <w:color w:val="auto"/>
          <w:szCs w:val="28"/>
        </w:rPr>
        <w:t>это влияние будет сильнее, чем для предшествующих волн. Как уже отмечалось, наряду с отраслями ядра нового (шестого) технологического уклада в его развитие будут вовлечены здравоохранение, сельское хозяйство, ряд несущих отраслей. Массовый спрос на нанотехнологически технологии и продукцию со стороны этих отраслей имеет решающее значение для развития отечественной нанонауки и наноиндустрии.</w:t>
      </w:r>
    </w:p>
    <w:p w:rsidR="005037F1" w:rsidRPr="00110EBC" w:rsidRDefault="005037F1" w:rsidP="005037F1">
      <w:pPr>
        <w:pStyle w:val="normal"/>
        <w:ind w:firstLine="709"/>
        <w:rPr>
          <w:color w:val="auto"/>
          <w:szCs w:val="28"/>
        </w:rPr>
      </w:pPr>
      <w:r w:rsidRPr="00110EBC">
        <w:rPr>
          <w:color w:val="auto"/>
          <w:szCs w:val="28"/>
        </w:rPr>
        <w:t xml:space="preserve">Ликвидация отсталости нашей экономики в несущих отраслях пятого технологического уклада, является поэтому одной из первоочередных. Возможности технологического развития в условиях Переживаемый в настоящее время кризис мировой экономики сказался на всех ее ведущих отраслях, включая высокотехнологические. Индустрия высоких технологий, основную часть которой составляют производства пятого технологического уклада, переживает самый тяжелый кризис за свою историю. Падение производства затронуло даже таких монополистов, как </w:t>
      </w:r>
      <w:r w:rsidRPr="00110EBC">
        <w:rPr>
          <w:color w:val="auto"/>
          <w:szCs w:val="28"/>
          <w:lang w:val="en-US"/>
        </w:rPr>
        <w:t>Microsoft</w:t>
      </w:r>
      <w:r w:rsidRPr="00110EBC">
        <w:rPr>
          <w:color w:val="auto"/>
          <w:szCs w:val="28"/>
        </w:rPr>
        <w:t xml:space="preserve">, долгое время символизировавший современный технологический уклад. </w:t>
      </w:r>
    </w:p>
    <w:p w:rsidR="005037F1" w:rsidRPr="00110EBC" w:rsidRDefault="005037F1" w:rsidP="005037F1">
      <w:pPr>
        <w:pStyle w:val="normal"/>
        <w:ind w:firstLine="709"/>
        <w:rPr>
          <w:color w:val="auto"/>
          <w:szCs w:val="28"/>
        </w:rPr>
      </w:pPr>
    </w:p>
    <w:p w:rsidR="005037F1" w:rsidRPr="00110EBC" w:rsidRDefault="005037F1" w:rsidP="005037F1">
      <w:pPr>
        <w:pStyle w:val="normal"/>
        <w:ind w:firstLine="709"/>
        <w:rPr>
          <w:color w:val="auto"/>
          <w:szCs w:val="28"/>
        </w:rPr>
      </w:pPr>
      <w:r w:rsidRPr="00110EBC">
        <w:rPr>
          <w:color w:val="auto"/>
          <w:szCs w:val="28"/>
        </w:rPr>
        <w:t>Однако при всем стремлении фирм к сохранению своего инновационного потенциала в отдельных случаях сокращения затрагивают подразделения, занятые исследованиями и разработками. Привлечение зарубежных специалистов по технологиям, где наблюдается отставание, как мера догоняющего развития имеет больше шансов на успех в условиях кризиса, сопровождающегося экономической депрессией в лидирующих странах.</w:t>
      </w:r>
    </w:p>
    <w:p w:rsidR="005037F1" w:rsidRPr="00110EBC" w:rsidRDefault="005037F1" w:rsidP="005037F1">
      <w:pPr>
        <w:pStyle w:val="normal"/>
        <w:ind w:firstLine="709"/>
        <w:rPr>
          <w:color w:val="auto"/>
          <w:szCs w:val="28"/>
        </w:rPr>
      </w:pPr>
      <w:r w:rsidRPr="00110EBC">
        <w:rPr>
          <w:color w:val="auto"/>
          <w:szCs w:val="28"/>
        </w:rPr>
        <w:t xml:space="preserve">Стремление к развитию зрелых отраслей оправдано, если оно обеспечивает наращивание инвестиционного потенциала, укрепляет технологическую базу для последующего движения вверх по лестнице развития. Вместе с тем, существует риск консервации сырьевой специализации национальной экономики. Шансы выйти на лидирующие </w:t>
      </w:r>
      <w:r w:rsidRPr="00110EBC">
        <w:rPr>
          <w:color w:val="auto"/>
          <w:szCs w:val="28"/>
        </w:rPr>
        <w:lastRenderedPageBreak/>
        <w:t>позиции выглядят более предпочтительными при конкуренции в растущих отраслях, на динамичных рынках. Здесь шанс преследователю дает как раз его меньшая обремененность уже накопленными, но устаревающими производственными фондами. От преследователя требуется в таком случае способность осмыслить новые идеи и разработки и опережающим образом воплотить их в производстве в промышленных масштабах. Успех более вероятен, когда удается добиться опережения еще на стадии диагностики назревающего прорыва. Искусство опережения во многом состоит в том, чтобы разглядеть растущие возможности там, где об этом еще не сигнализируют рынки. Ставка на поддержку только протестированных рынком бизнесов во многом выхолащивает стратегию действий на опережение. Опыт технологических революций свидетельствует о том, что в ускоренном воплощении новых научных знаний в производство - ключ к успеху России в конкуренции на динамичных рынках.</w:t>
      </w:r>
    </w:p>
    <w:p w:rsidR="005037F1" w:rsidRPr="00110EBC" w:rsidRDefault="005037F1" w:rsidP="005037F1">
      <w:pPr>
        <w:pStyle w:val="normal"/>
        <w:ind w:firstLine="709"/>
        <w:rPr>
          <w:color w:val="auto"/>
          <w:szCs w:val="28"/>
        </w:rPr>
      </w:pPr>
      <w:r w:rsidRPr="00110EBC">
        <w:rPr>
          <w:color w:val="auto"/>
          <w:szCs w:val="28"/>
        </w:rPr>
        <w:t>Исходя из роли отдельных отраслей в формировании новой длинной волны (нового технологического уклада), возможна следующая классификация перспективных технологий:</w:t>
      </w:r>
    </w:p>
    <w:p w:rsidR="005037F1" w:rsidRPr="00110EBC" w:rsidRDefault="005037F1" w:rsidP="005037F1">
      <w:pPr>
        <w:pStyle w:val="normal"/>
        <w:ind w:firstLine="709"/>
        <w:rPr>
          <w:color w:val="auto"/>
          <w:szCs w:val="28"/>
        </w:rPr>
      </w:pPr>
      <w:r w:rsidRPr="00110EBC">
        <w:rPr>
          <w:color w:val="auto"/>
          <w:szCs w:val="28"/>
        </w:rPr>
        <w:t xml:space="preserve">1. Технологические решения, коммерциализация которых представляет собой нововведения очередной (возникающей) длинной </w:t>
      </w:r>
    </w:p>
    <w:p w:rsidR="005037F1" w:rsidRPr="00110EBC" w:rsidRDefault="005037F1" w:rsidP="005037F1">
      <w:pPr>
        <w:pStyle w:val="normal"/>
        <w:ind w:firstLine="709"/>
        <w:rPr>
          <w:color w:val="auto"/>
          <w:szCs w:val="28"/>
        </w:rPr>
      </w:pPr>
      <w:r w:rsidRPr="00110EBC">
        <w:rPr>
          <w:color w:val="auto"/>
          <w:szCs w:val="28"/>
        </w:rPr>
        <w:t>2. Разработки для улучшающих нововведений (технологий или продуктов) уже существующих производств, чтобы они могли обеспечить зарождающиеся производства новой длинной волны качественными материальными ресурсами;</w:t>
      </w:r>
    </w:p>
    <w:p w:rsidR="005037F1" w:rsidRPr="00110EBC" w:rsidRDefault="005037F1" w:rsidP="005037F1">
      <w:pPr>
        <w:pStyle w:val="normal"/>
        <w:ind w:firstLine="709"/>
        <w:rPr>
          <w:color w:val="auto"/>
          <w:szCs w:val="28"/>
        </w:rPr>
      </w:pPr>
      <w:r w:rsidRPr="00110EBC">
        <w:rPr>
          <w:color w:val="auto"/>
          <w:szCs w:val="28"/>
        </w:rPr>
        <w:t>3. Технологические решения для улучшающих нововведений и повышения эффективности отраслей, выступающих «дойными коровами» национальной экономики, вносящих большой вклад в ее инвестиционный потенциал;</w:t>
      </w:r>
    </w:p>
    <w:p w:rsidR="005037F1" w:rsidRPr="00110EBC" w:rsidRDefault="005037F1" w:rsidP="005037F1">
      <w:pPr>
        <w:pStyle w:val="normal"/>
        <w:ind w:firstLine="709"/>
        <w:rPr>
          <w:color w:val="auto"/>
          <w:szCs w:val="28"/>
        </w:rPr>
      </w:pPr>
      <w:r w:rsidRPr="00110EBC">
        <w:rPr>
          <w:color w:val="auto"/>
          <w:szCs w:val="28"/>
        </w:rPr>
        <w:t xml:space="preserve">4. Разработки для улучшающих нововведений и повышения конкурентоспособности уже существующих отраслей, спрос которых на </w:t>
      </w:r>
      <w:r w:rsidRPr="00110EBC">
        <w:rPr>
          <w:color w:val="auto"/>
          <w:szCs w:val="28"/>
        </w:rPr>
        <w:lastRenderedPageBreak/>
        <w:t>продукцию очередной длинной волны помогает реализовать эффект масштаба в производстве этой продукции.</w:t>
      </w:r>
    </w:p>
    <w:p w:rsidR="005037F1" w:rsidRPr="00110EBC" w:rsidRDefault="005037F1" w:rsidP="005037F1">
      <w:pPr>
        <w:pStyle w:val="normal"/>
        <w:ind w:firstLine="709"/>
        <w:rPr>
          <w:color w:val="auto"/>
          <w:szCs w:val="28"/>
        </w:rPr>
      </w:pPr>
    </w:p>
    <w:p w:rsidR="005037F1" w:rsidRPr="00110EBC" w:rsidRDefault="005037F1" w:rsidP="005037F1">
      <w:pPr>
        <w:pStyle w:val="normal"/>
        <w:ind w:firstLine="709"/>
        <w:rPr>
          <w:color w:val="auto"/>
          <w:szCs w:val="28"/>
        </w:rPr>
      </w:pPr>
      <w:r w:rsidRPr="00110EBC">
        <w:rPr>
          <w:color w:val="auto"/>
          <w:szCs w:val="28"/>
        </w:rPr>
        <w:t xml:space="preserve">В период становления нового уклада приоритетное внимание должно уделяться его продукции, имеющей наилучшие перспективы массового спроса в достаточно близкой перспективе. За счет этого может быть достигнут эффект масштаба в производстве, а удешевление новой продукции будет способствовать развитию формирующегося уклада на его собственной основе. Важным фактором формирования в России нового (шестого) технологического уклада является спрос на его продукцию и технологии со стороны уже конкурентоспособных отраслей и отраслей, повышение конкурентоспособности которых достаточно реально. Большая роль здесь могут сыграть оборонные производства (авиационных, судостроительных, ракетно-космической промышленности и т.д.) и </w:t>
      </w:r>
      <w:r w:rsidR="00F26F89">
        <w:rPr>
          <w:color w:val="auto"/>
          <w:szCs w:val="28"/>
        </w:rPr>
        <w:t>г</w:t>
      </w:r>
      <w:r w:rsidRPr="00110EBC">
        <w:rPr>
          <w:color w:val="auto"/>
          <w:szCs w:val="28"/>
        </w:rPr>
        <w:t>ражданские высоко- и среднетехнологичные отрасли (электроники, гражданского авиастроения, автомобилестроения и др.). Например, спектр направлений применения нанотехнологии в аэрокосмической технике включает:</w:t>
      </w:r>
    </w:p>
    <w:p w:rsidR="005037F1" w:rsidRPr="00110EBC" w:rsidRDefault="005037F1" w:rsidP="005037F1">
      <w:pPr>
        <w:pStyle w:val="normal"/>
        <w:ind w:firstLine="709"/>
        <w:rPr>
          <w:color w:val="auto"/>
          <w:szCs w:val="28"/>
        </w:rPr>
      </w:pPr>
      <w:r w:rsidRPr="00110EBC">
        <w:rPr>
          <w:color w:val="auto"/>
          <w:szCs w:val="28"/>
        </w:rPr>
        <w:t xml:space="preserve">Наноматериалы: объемные наноматериалы (нанокомпозиты, нанокерамические материалы, наноструктурные сплавы, нанопористые материалы); нанопокрытия и наномембраны; волокна на основе углеродных нанотрубок; жидкие наноматериалы (ферромагнитные жидкости, электроуправляемые клеи); </w:t>
      </w:r>
    </w:p>
    <w:p w:rsidR="005037F1" w:rsidRPr="00110EBC" w:rsidRDefault="005037F1" w:rsidP="005037F1">
      <w:pPr>
        <w:pStyle w:val="normal"/>
        <w:ind w:firstLine="709"/>
        <w:rPr>
          <w:color w:val="auto"/>
          <w:szCs w:val="28"/>
        </w:rPr>
      </w:pPr>
      <w:r w:rsidRPr="00110EBC">
        <w:rPr>
          <w:color w:val="auto"/>
          <w:szCs w:val="28"/>
        </w:rPr>
        <w:t>Двигательные установки: усовершенствование топлив (нанокатализаторы сгорания, нанокомпозитные топлива, нанокатализаторы фазового перехода, наногели); усовершенствование систем подачи топлива; усовершенствование камер сгорания; усовершенствование систем управления газовыми потоками;</w:t>
      </w:r>
    </w:p>
    <w:p w:rsidR="005037F1" w:rsidRPr="00110EBC" w:rsidRDefault="005037F1" w:rsidP="005037F1">
      <w:pPr>
        <w:pStyle w:val="normal"/>
        <w:ind w:firstLine="709"/>
        <w:rPr>
          <w:color w:val="auto"/>
          <w:szCs w:val="28"/>
        </w:rPr>
      </w:pPr>
      <w:r w:rsidRPr="00110EBC">
        <w:rPr>
          <w:color w:val="auto"/>
          <w:szCs w:val="28"/>
        </w:rPr>
        <w:t>Энергетические системы: генерация энергии, преобразование энергии, хранение энергии, передача энергии (высокотемпературные сверхпроводники);</w:t>
      </w:r>
    </w:p>
    <w:p w:rsidR="005037F1" w:rsidRPr="00110EBC" w:rsidRDefault="005037F1" w:rsidP="005037F1">
      <w:pPr>
        <w:pStyle w:val="normal"/>
        <w:ind w:firstLine="709"/>
        <w:rPr>
          <w:color w:val="auto"/>
          <w:szCs w:val="28"/>
        </w:rPr>
      </w:pPr>
      <w:r w:rsidRPr="00110EBC">
        <w:rPr>
          <w:color w:val="auto"/>
          <w:szCs w:val="28"/>
        </w:rPr>
        <w:lastRenderedPageBreak/>
        <w:t xml:space="preserve">Системы связи и управления: средства навигации (квантовые гироскопы); наноэлектроника; нанофотоника; наномагнитоэлектроника; бионика; передача данных; </w:t>
      </w:r>
    </w:p>
    <w:p w:rsidR="005037F1" w:rsidRPr="00110EBC" w:rsidRDefault="005037F1" w:rsidP="005037F1">
      <w:pPr>
        <w:pStyle w:val="normal"/>
        <w:ind w:firstLine="709"/>
        <w:rPr>
          <w:color w:val="auto"/>
          <w:szCs w:val="28"/>
        </w:rPr>
      </w:pPr>
      <w:r w:rsidRPr="00110EBC">
        <w:rPr>
          <w:color w:val="auto"/>
          <w:szCs w:val="28"/>
        </w:rPr>
        <w:t>Сенсоры;</w:t>
      </w:r>
    </w:p>
    <w:p w:rsidR="005037F1" w:rsidRPr="00110EBC" w:rsidRDefault="005037F1" w:rsidP="005037F1">
      <w:pPr>
        <w:pStyle w:val="normal"/>
        <w:ind w:firstLine="709"/>
        <w:rPr>
          <w:color w:val="auto"/>
          <w:szCs w:val="28"/>
        </w:rPr>
      </w:pPr>
      <w:r w:rsidRPr="00110EBC">
        <w:rPr>
          <w:color w:val="auto"/>
          <w:szCs w:val="28"/>
        </w:rPr>
        <w:t>Исполнительные механизмы: микро- и наноманипуляторы; космические наноаппараты;</w:t>
      </w:r>
    </w:p>
    <w:p w:rsidR="005037F1" w:rsidRPr="00110EBC" w:rsidRDefault="005037F1" w:rsidP="005037F1">
      <w:pPr>
        <w:pStyle w:val="normal"/>
        <w:ind w:firstLine="709"/>
        <w:rPr>
          <w:color w:val="auto"/>
          <w:szCs w:val="28"/>
        </w:rPr>
      </w:pPr>
      <w:r w:rsidRPr="00110EBC">
        <w:rPr>
          <w:color w:val="auto"/>
          <w:szCs w:val="28"/>
        </w:rPr>
        <w:t>Условия работы экипажа и др.</w:t>
      </w:r>
    </w:p>
    <w:p w:rsidR="005037F1" w:rsidRPr="00110EBC" w:rsidRDefault="005037F1" w:rsidP="005037F1">
      <w:pPr>
        <w:pStyle w:val="normal"/>
        <w:ind w:firstLine="709"/>
        <w:rPr>
          <w:color w:val="auto"/>
          <w:szCs w:val="28"/>
        </w:rPr>
      </w:pPr>
      <w:r w:rsidRPr="00110EBC">
        <w:rPr>
          <w:color w:val="auto"/>
          <w:szCs w:val="28"/>
        </w:rPr>
        <w:t>В близкой перспективе массовое применение может найти такая патентованная разработка Курчатовского института как покрытие нового поколения - так называемая нанопленка. Ионная имплантация - это научное название изобретения - изменяет структуру металла. При нанесении нанопленки на любые металлические детали их срок службы увеличивается многократно. Опробование этой разработки на металлорежущих станках показало, что срок работы инструмента увеличился в двенадцать раз. Кроме того, повысились стойкость и качество обрабатываемой поверхности. Это изобретение изменит в первую очередь российскую оборонную промышленность.</w:t>
      </w:r>
    </w:p>
    <w:p w:rsidR="005037F1" w:rsidRPr="00110EBC" w:rsidRDefault="005037F1" w:rsidP="005037F1">
      <w:pPr>
        <w:pStyle w:val="normal"/>
        <w:ind w:firstLine="709"/>
        <w:rPr>
          <w:color w:val="auto"/>
          <w:szCs w:val="28"/>
        </w:rPr>
      </w:pPr>
      <w:r w:rsidRPr="00110EBC">
        <w:rPr>
          <w:color w:val="auto"/>
          <w:szCs w:val="28"/>
        </w:rPr>
        <w:t>Авиационные двигатели, двигатели кораблей, бронетехника и артиллерийские орудия станут прочнее. Как известно, двигатель новейшего американского истребителя "Раптор" покрыт суперпрочной керамической пленкой. В результате курчатовской разработки страна получает колоссальную экономию на инструменте, который раньше надо было закупать на Западе. Сейчас прикладными опросами фундаментальной разработки Курчатовского института занимается Рыбинская авиационная академия. Промышленное внедрение осуществляет "НПО Сатурн". Предприятие по производству металлических инструментов с нанопокрытием построят на его базе в Ярославской области. Однако, если главными потребителями новой технологии останутся лишь российские авиазаводы, эффект массового спроса не будет реализован в полной мере.</w:t>
      </w:r>
    </w:p>
    <w:p w:rsidR="005037F1" w:rsidRPr="00110EBC" w:rsidRDefault="005037F1" w:rsidP="005037F1">
      <w:pPr>
        <w:pStyle w:val="normal"/>
        <w:ind w:firstLine="709"/>
        <w:rPr>
          <w:color w:val="auto"/>
          <w:szCs w:val="28"/>
        </w:rPr>
      </w:pPr>
      <w:r w:rsidRPr="00110EBC">
        <w:rPr>
          <w:color w:val="auto"/>
          <w:szCs w:val="28"/>
        </w:rPr>
        <w:lastRenderedPageBreak/>
        <w:t>Коль скоро эта технология способна стать весомым фактором конкурентоспособности российской экономики, развитие и широкое использование ионной имплантации должно стать конкретным ориентиром для проектировщиков и производителей соответствующего оборудования, для всего спектра потенциальных потребителей.</w:t>
      </w:r>
    </w:p>
    <w:p w:rsidR="005037F1" w:rsidRPr="00110EBC" w:rsidRDefault="005037F1" w:rsidP="005037F1">
      <w:pPr>
        <w:pStyle w:val="normal"/>
        <w:ind w:firstLine="709"/>
        <w:rPr>
          <w:color w:val="auto"/>
          <w:szCs w:val="28"/>
        </w:rPr>
      </w:pPr>
      <w:r w:rsidRPr="00110EBC">
        <w:rPr>
          <w:color w:val="auto"/>
          <w:szCs w:val="28"/>
        </w:rPr>
        <w:t>Массовый спрос на продукцию нового технологического уклада способны предъявить и такие базовые для отечественной промышленности отрасли как химия, металлургия, топливно-энергетический комплекс, железнодорожный транспорт, сельское хозяйство.</w:t>
      </w:r>
    </w:p>
    <w:p w:rsidR="005037F1" w:rsidRPr="00621194" w:rsidRDefault="005037F1" w:rsidP="005037F1">
      <w:pPr>
        <w:pStyle w:val="normal"/>
        <w:ind w:firstLine="709"/>
        <w:rPr>
          <w:szCs w:val="28"/>
        </w:rPr>
      </w:pPr>
      <w:r w:rsidRPr="00621194">
        <w:rPr>
          <w:szCs w:val="28"/>
        </w:rPr>
        <w:t xml:space="preserve">Не смотря на все заявления принимающих решения лиц в стране, на современном этапе, всё также и остается в отечественной экономике, формирование бюджета по формату свыше 50 % доходов за счет доходов от продажи нефти и газа, уровень инновационной активности в промышленности остается низким, рынок инноваций практически отсутствует, а предпринимаемые меры государственного регулирования и управления этой сферой крайне низко результативны. Еще более сомнительна роль государства в этом процессе, обеспечивает эту активность через систему экономических стимулов, что противоречит практике деятельности предприятий производственной инфраструктуры, важнейшие параметры которой были нами достаточно наглядно проиллюстрированы в приведенных выше таблицах официальной статистики. Развитие услуг производственной инфраструктуры в условиях современной экономики, учитывая складывающиеся общеэкономические тенденции и закономерности на мировом рынке, невозможно без ориентации на инновационные факторы экономического роста. Кроме того, исследование динамики развития отраслей производственной инфраструктуры выявило целый ряд отрицательных тенденций и закономерностей в их развитии, к которым отнесены отставание в темпах развития от динамики ВВП, а также основных отраслей промышленности, отставание темпов прироста стоимости основных фондов в отраслях производственной инфраструктуры по сравнению с </w:t>
      </w:r>
      <w:r w:rsidRPr="00621194">
        <w:rPr>
          <w:szCs w:val="28"/>
        </w:rPr>
        <w:lastRenderedPageBreak/>
        <w:t>аналогичными параметрами в других отраслях промышленности, снижение степени износа, коэффициента обновления и ликвидации основных фондов в отраслях производственной инфраструктуры, рост количества убыточных предприятий, снижения их рентабельности и финансовой устойчивости, организационно-управленческая раздробленность и многое другое. Кроме того, нельзя забывать и о том, что специфические особенности отраслей производственной инфраструктуры практически блокируют потребность и восприимчивость предприятий отрасли к инновациям и новым технологиям. Ряд специалистов, среди которых необходимо выделить Агаркова А.П., Болгова И.В., Брусакову И.А., Гилязутдинову И.В., Каленскую Н.В., Кондратьева В.Б., Урванцева Н.А. и других, которые выделяют следующие важнейшие специфические особенности отраслей производственной инфраструктуры, которые активно влияют на формирование полноценных конкурентных отношений в этой сфере: - наличие широкого круга предприятий инновационной инфраструктуры, призванных самим обеспечивать инновационное развитие предприятий различных отраслей, что исключает потребность и возможность их собственно инновационного развития; - подчиненный, обеспечивающий характер экономической деятельности в отраслях производственной инфраструктуры, что блокирует рыночные механизмы ее регулирования; - специфика приватизации отраслей производственной инфраструктуры, связанная в ряде случаев с эффектом естественной монополии; - межотраслевой характер экономической деятельности, обусловленный необходимостью обеспечения разнообразных потребн</w:t>
      </w:r>
      <w:r w:rsidR="00232908">
        <w:rPr>
          <w:szCs w:val="28"/>
        </w:rPr>
        <w:t>остей основного производства</w:t>
      </w:r>
      <w:r w:rsidRPr="00621194">
        <w:rPr>
          <w:szCs w:val="28"/>
        </w:rPr>
        <w:t xml:space="preserve">. Кроме того, необходимо учитывать то обстоятельство, что инновационное развитие предприятий и организаций производственной инфраструктуры полностью зависит от уровня инновационного развития и активности обслуживаемого ими промышленного производства. Более того, показатели и критерии оценки инновационной активности предприятий и организаций производственной инфраструктуры могут существенно отличаться от традиционно </w:t>
      </w:r>
      <w:r w:rsidRPr="00621194">
        <w:rPr>
          <w:szCs w:val="28"/>
        </w:rPr>
        <w:lastRenderedPageBreak/>
        <w:t xml:space="preserve">применяемых показателей оценки инновационной активности предприятий промышленного производства. Именно эти специфические особенности экономической деятельности предприятий и организаций производственной инфраструктуры накладывают свой отпечаток на процессы формирования и развития рыночной конкуренции в этой сфере, практически, исключая ее полноценную возможность. Практическое отсутствие конкуренции в отраслях производственной инфраструктуры закономерно и с объективной необходимостью ведет к отсутствию мотивации, потребности и восприимчивости, прежде всего, к технологическим инновациям. Еще сложнее складываются экономические отношения в сфере стимулирования инновационной активности в отраслях производственной инфраструктуры. Так, отсутствие конкуренции блокирует такие стимулирующие факторы технологического профиля, как разработка или приобретение передовых технологий и оборудования, повышение информационно-коммуникационной обеспеченности, что в конечном итоге ведет к моральному старению и физическому износу технологий и оборудования и еще большее снижение уровня конкурентоспособности предприятий и организаций. Кроме того, нельзя забывать, что отсутствие конкуренции и рыночных механизмов экономического регулирования в отрасли производственной инфраструктуры ведет к снижению финансовых параметров деятельности предприятий и организаций отрасли, падению рентабельности и, соответственно, отсутствию собственных средств для финансирования инновационных проектов. Эти последствия специфики инновационной деятельности в отраслях производственной инфраструктуры полностью подтверждаются и анализом статистических данных о параметрах инновационной активности предприятий и организаций отрасли. Как свидетельствуют данные официальной статистики, на протяжении последних пяти лет инновационная активность предприятий промышленного комплекса и обслуживающих его отраслей производственной инфраструктуры не превышала 10 %, что значительно ниже уровня большинства экономически развитых стран. Иначе </w:t>
      </w:r>
      <w:r w:rsidRPr="00621194">
        <w:rPr>
          <w:szCs w:val="28"/>
        </w:rPr>
        <w:lastRenderedPageBreak/>
        <w:t xml:space="preserve">говоря, инновационную деятельность в какой-либо форме ведет только каждое десятое предприятие промышленного комплекса и обслуживающих его отраслей производственной инфраструктуры. Как свидетельствуют данные официальной статистики, приведенные в таблице 1, уровень инновационной активности, измеряемый показателем удельного веса затрат на технологические инновации в общем объеме отгруженных товаров, выполненных работ, услуг, по видам экономической деятельности в Республике Татарстан в сфере добычи полезных ископаемых в период с 2009 по 2012 год снизилась вдвое. Кроме того, если этот показатель в целом по промышленности в 2012 году составлял 2,2 %, то в отрасли производственной инфраструктуры по производству и распределению электроэнергии, газа и воды этот показатель составлял 0,84 %, или почти втрое меньше. </w:t>
      </w:r>
    </w:p>
    <w:p w:rsidR="005037F1" w:rsidRPr="00621194" w:rsidRDefault="005037F1" w:rsidP="005037F1">
      <w:pPr>
        <w:pStyle w:val="normal"/>
        <w:ind w:firstLine="709"/>
        <w:rPr>
          <w:szCs w:val="28"/>
        </w:rPr>
      </w:pPr>
      <w:r w:rsidRPr="00621194">
        <w:rPr>
          <w:szCs w:val="28"/>
        </w:rPr>
        <w:t>Относительно высокие показатели инновационной активности в отрасли связи, которые составили в 2013 году 4,62 % или почти вдвое выше среднеотраслевого уровня в промышленности Республики Татарстан, логично обусловлены приобретением новых технологий коммуникации в зарубежных странах, являющихся инновационными для российского рынка информационно-коммуникационных услуг. Аналогичные тенденции отражает и сравнительная динамика такого показателя инновационной активности, каковым является показатель удельного веса инновационных товаров, работ, услуг в общем объеме отгруженных товаров, выполненных работ, услуг по видам экономической деятельности в Республике Татарстан</w:t>
      </w:r>
      <w:r w:rsidR="00F26F89">
        <w:rPr>
          <w:szCs w:val="28"/>
        </w:rPr>
        <w:t>.</w:t>
      </w:r>
      <w:r w:rsidRPr="00621194">
        <w:rPr>
          <w:szCs w:val="28"/>
        </w:rPr>
        <w:t xml:space="preserve"> </w:t>
      </w:r>
    </w:p>
    <w:p w:rsidR="001F73FC" w:rsidRPr="005037F1" w:rsidRDefault="005037F1" w:rsidP="005037F1">
      <w:pPr>
        <w:pStyle w:val="normal"/>
        <w:ind w:firstLine="709"/>
        <w:rPr>
          <w:szCs w:val="28"/>
        </w:rPr>
      </w:pPr>
      <w:r w:rsidRPr="00621194">
        <w:rPr>
          <w:szCs w:val="28"/>
        </w:rPr>
        <w:t xml:space="preserve">В соответствие с представленными данными официальной статистики показателя удельного веса инновационных товаров, работ, услуг в общем объеме отгруженных товаров, выполненных работ, услуг по видам экономической деятельности в Республике Татарстан, если в целом по промышленности этот показатель в 2013 году составлял 8,0 %, то в отрасли производственной инфраструктуры по производству и распределению электроэнергии, газа и воды этот показатель составлял всего 0,4 %. Причем </w:t>
      </w:r>
      <w:r w:rsidRPr="00621194">
        <w:rPr>
          <w:szCs w:val="28"/>
        </w:rPr>
        <w:lastRenderedPageBreak/>
        <w:t>этот показатель на протяжении последних четырех лет с 2010 по 2013 годы неуклонно снижался с 1,5 % до 0,4 %. Необходимо отметить, что из всех представленных в официальной статистической отчетности отраслей промышленности и производственной инфраструктуры, значение показателя удельного веса инновационных товаров, работ, услуг в общем объеме отгруженных товаров, выполненных работ, услуг по видам экономической деятельности в Республике Татарстан в отрасли по производству и распределению электроэнергии, газа и воды имело за весь анализируемый период минимальное значение. Так, если значение этого показателя в 2013 году в отрасли по производству кокса и нефтепродуктов составляло 10,4 %, в химическом производстве – 10,0 %, в производстве резиновых и пластмассовых изделий – 10,4 %, в производстве машин и оборудования – 6,0 %, в производстве электрооборудования, электронного и оптического оборудования – 9,7 %, в производстве транспортных средств и оборудования – 26,3 %, то в производстве и распределении электроэнергии, газа и воды лишь 0,4 %. По данным специалистов, в отраслях производственной инфраструктуры затраты на подготовку производства инновационной продукции и оказание услуг в совокупном объеме затрат составляют критически малую долю, не превышающую 4 % на производственное проектирование, не более 2,5 % на разработку или приобретение новых технологий, менее 1 % на приобретение программных средств информационного обеспечения, а доля затрат на подготовку специалистов и маркетинговые исс</w:t>
      </w:r>
      <w:r w:rsidR="00F26F89">
        <w:rPr>
          <w:szCs w:val="28"/>
        </w:rPr>
        <w:t>ледования не превышают 0,1 %</w:t>
      </w:r>
      <w:r w:rsidRPr="00621194">
        <w:rPr>
          <w:szCs w:val="28"/>
        </w:rPr>
        <w:t>. В этой связи представляет определенный научный и методический интерес предложенная Гиляз</w:t>
      </w:r>
      <w:r w:rsidR="00F26F89">
        <w:rPr>
          <w:szCs w:val="28"/>
        </w:rPr>
        <w:t xml:space="preserve">утдиновой И.В. и Гореловой Е.Н. </w:t>
      </w:r>
      <w:r w:rsidRPr="00621194">
        <w:rPr>
          <w:szCs w:val="28"/>
        </w:rPr>
        <w:t xml:space="preserve">методика оценки уровня инновационного развития производственной инфраструктуры промышленного комплекса, где авторы предлагают ряд показателей, характеризующих влияние инфраструктурных инноваций на инновационную деятельность в обслуживающем производстве. Методика построена на определении факторов, влияющих на уровень инновационного развития </w:t>
      </w:r>
      <w:r w:rsidRPr="00621194">
        <w:rPr>
          <w:szCs w:val="28"/>
        </w:rPr>
        <w:lastRenderedPageBreak/>
        <w:t xml:space="preserve">производственной инфраструктуры, которые группируются по четырем показателям, включающим уровень инновационной активности предприятий отрасли, влияния инфраструктурных инноваций на инновационную деятельность предприятий производственной инфраструктуры, индекс инновативности и инновационного потенциала. На основе перечисленных показателей формируется интегральный показатель уровня инновационного развития, позволяющий, по мнению авторов, оценить уровень инновационного развития производственной инфраструктуры. Вместе с тем необходимо отметить, что авторы не поясняют, каким образом можно измерить такие факторы, как, например, уровень восприимчивости к инновациям, готовность к инновациям и ряд других, что затрудняет получение достаточно высокого уровня достоверности оценочных характеристик. Однако необходимо отметить, что в зарубежной и отечественной экономической литературе практически нет методик оценки инновационной активности предприятий и организаций производственной инфраструктуры, что делает рассматриваемую методику авторов достаточно ценным вкладом в научную и методическую базу исследования процессов инновационной активности в отраслях сферы услуг. Все перечисленные выше специфические особенности конкуренции в отраслях производственной инфраструктуры, а также специфика методических подходов к оценке инновационной активности производственной инфраструктуры промышленного комплекса с объективной очевидностью приводят к выводу, что традиционные методы и способы управления инновационным развитием, или вернее, управления развитием отраслей производственной инфраструктуры промышленного комплекса на основе привлечения инноваций не приемлемы. Нельзя забывать, что в условиях современной практики хозяйствования большинство отраслей производственной инфраструктуры достаточно успешно развивается без каких-либо инноваций и инновационных технологий в силу жесткой привязанности к потребностям вполне определенной отрасли </w:t>
      </w:r>
      <w:r w:rsidRPr="00621194">
        <w:rPr>
          <w:szCs w:val="28"/>
        </w:rPr>
        <w:lastRenderedPageBreak/>
        <w:t xml:space="preserve">промышленности, которые имеют собственную стратегию развития, в том числе и инновационную. Однако это не означает, что обслуживающие их предприятия и организации производственной инфраструктуры должны заниматься собственными инновационными разработками, не связанными с обеспечением основного производства, его специфических потребностей. При этом предприятия и организации производственной инфраструктуры должны учитывать не только направления экономических векторов своего развития, полностью совпадающих с векторами развития основного производства, но и векторы интересов различных групп акционеров и владельцев как самих предприятий и организации производственной инфраструктуры, так и акционеров и владельцев предприятий основного производства. Поэтому вполне естественно, что единственным и адекватным методом управления развитием отраслей производственной инфраструктуры промышленного комплекса на основе привлечения инноваций может быть метод координации направлений его развития с экономическим, социальным и политическим направлением развития основного производства. Данный метод естественно не предполагает изолированного инициирования инновационных проектов, стимулирования процессов инновирования как таковых, вне их жесткой взаимосвязи с векторами инновационного развития промышленного комплекса. Анализ специфики инновационного развития предприятий и организаций производственной инфраструктуры позволил сделать вывод о том, что оно полностью зависит от уровня инновационного развития и активности обслуживаемого ими промышленного производства, а показатели и критерии оценки инновационной активности предприятий и организаций производственной инфраструктуры могут существенно отличаться от традиционно применяемых показателей оценки инновационной активности предприятий промышленного производства. Выявленные специфические особенности экономической деятельности предприятий и организаций производственной инфраструктуры накладывают свой отпечаток на процессы формирования и развития рыночной </w:t>
      </w:r>
      <w:r w:rsidRPr="00621194">
        <w:rPr>
          <w:szCs w:val="28"/>
        </w:rPr>
        <w:lastRenderedPageBreak/>
        <w:t xml:space="preserve">конкуренции в этой сфере, практически исключая ее возможность. Практическое отсутствие конкуренции в отраслях производственной инфраструктуры закономерно и с объективной необходимостью ведет к отсутствию мотивации, потребности и восприимчивости, прежде всего, к технологическим инновациям. </w:t>
      </w:r>
    </w:p>
    <w:sectPr w:rsidR="001F73FC" w:rsidRPr="005037F1" w:rsidSect="00F26F89">
      <w:headerReference w:type="default" r:id="rId6"/>
      <w:pgSz w:w="11906" w:h="16838"/>
      <w:pgMar w:top="1134" w:right="850" w:bottom="1134" w:left="1701" w:header="708" w:footer="708" w:gutter="0"/>
      <w:pgNumType w:start="4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874" w:rsidRDefault="00E06874" w:rsidP="001F73FC">
      <w:pPr>
        <w:spacing w:after="0" w:line="240" w:lineRule="auto"/>
      </w:pPr>
      <w:r>
        <w:separator/>
      </w:r>
    </w:p>
  </w:endnote>
  <w:endnote w:type="continuationSeparator" w:id="1">
    <w:p w:rsidR="00E06874" w:rsidRDefault="00E06874" w:rsidP="001F73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Cyr">
    <w:panose1 w:val="00000000000000000000"/>
    <w:charset w:val="00"/>
    <w:family w:val="roman"/>
    <w:notTrueType/>
    <w:pitch w:val="default"/>
    <w:sig w:usb0="00000000" w:usb1="00000000" w:usb2="00000000" w:usb3="00000000" w:csb0="00000000" w:csb1="00000000"/>
  </w:font>
  <w:font w:name="TimesNewRomanPS-BoldMT">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874" w:rsidRDefault="00E06874" w:rsidP="001F73FC">
      <w:pPr>
        <w:spacing w:after="0" w:line="240" w:lineRule="auto"/>
      </w:pPr>
      <w:r>
        <w:separator/>
      </w:r>
    </w:p>
  </w:footnote>
  <w:footnote w:type="continuationSeparator" w:id="1">
    <w:p w:rsidR="00E06874" w:rsidRDefault="00E06874" w:rsidP="001F73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4830"/>
      <w:docPartObj>
        <w:docPartGallery w:val="Page Numbers (Top of Page)"/>
        <w:docPartUnique/>
      </w:docPartObj>
    </w:sdtPr>
    <w:sdtContent>
      <w:p w:rsidR="00260FC5" w:rsidRDefault="003B2FC1">
        <w:pPr>
          <w:pStyle w:val="a8"/>
          <w:jc w:val="center"/>
        </w:pPr>
        <w:fldSimple w:instr=" PAGE   \* MERGEFORMAT ">
          <w:r w:rsidR="00232908">
            <w:rPr>
              <w:noProof/>
            </w:rPr>
            <w:t>96</w:t>
          </w:r>
        </w:fldSimple>
      </w:p>
    </w:sdtContent>
  </w:sdt>
  <w:p w:rsidR="00260FC5" w:rsidRDefault="00260FC5">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F73FC"/>
    <w:rsid w:val="00033301"/>
    <w:rsid w:val="000528B4"/>
    <w:rsid w:val="00112EFC"/>
    <w:rsid w:val="001F73FC"/>
    <w:rsid w:val="00232908"/>
    <w:rsid w:val="00260FC5"/>
    <w:rsid w:val="002C66E0"/>
    <w:rsid w:val="003B2FC1"/>
    <w:rsid w:val="004271BB"/>
    <w:rsid w:val="005037F1"/>
    <w:rsid w:val="00575DE5"/>
    <w:rsid w:val="0060412C"/>
    <w:rsid w:val="007F6124"/>
    <w:rsid w:val="00915FA9"/>
    <w:rsid w:val="009364C7"/>
    <w:rsid w:val="009C6831"/>
    <w:rsid w:val="00B3700B"/>
    <w:rsid w:val="00B60E3E"/>
    <w:rsid w:val="00C04DD9"/>
    <w:rsid w:val="00DD3EE2"/>
    <w:rsid w:val="00E06874"/>
    <w:rsid w:val="00E46E46"/>
    <w:rsid w:val="00EF255A"/>
    <w:rsid w:val="00F26F89"/>
    <w:rsid w:val="00F609B4"/>
    <w:rsid w:val="00FB6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3FC"/>
    <w:rPr>
      <w:rFonts w:eastAsiaTheme="minorEastAsia"/>
      <w:lang w:eastAsia="ru-RU"/>
    </w:rPr>
  </w:style>
  <w:style w:type="paragraph" w:styleId="2">
    <w:name w:val="heading 2"/>
    <w:basedOn w:val="a"/>
    <w:next w:val="a"/>
    <w:link w:val="20"/>
    <w:uiPriority w:val="9"/>
    <w:unhideWhenUsed/>
    <w:qFormat/>
    <w:rsid w:val="004271BB"/>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F73FC"/>
    <w:pPr>
      <w:spacing w:after="0" w:line="360" w:lineRule="auto"/>
      <w:jc w:val="both"/>
    </w:pPr>
    <w:rPr>
      <w:rFonts w:ascii="Times New Roman" w:eastAsia="Times New Roman" w:hAnsi="Times New Roman" w:cs="Times New Roman"/>
      <w:color w:val="000000"/>
      <w:sz w:val="28"/>
      <w:szCs w:val="20"/>
      <w:lang w:eastAsia="ru-RU"/>
    </w:rPr>
  </w:style>
  <w:style w:type="paragraph" w:styleId="a3">
    <w:name w:val="footnote text"/>
    <w:basedOn w:val="a"/>
    <w:link w:val="a4"/>
    <w:uiPriority w:val="99"/>
    <w:unhideWhenUsed/>
    <w:rsid w:val="001F73FC"/>
    <w:pPr>
      <w:spacing w:after="0" w:line="360" w:lineRule="auto"/>
      <w:ind w:firstLine="709"/>
      <w:jc w:val="both"/>
    </w:pPr>
    <w:rPr>
      <w:rFonts w:ascii="Times New Roman" w:eastAsia="Calibri" w:hAnsi="Times New Roman" w:cs="Times New Roman"/>
      <w:sz w:val="20"/>
      <w:szCs w:val="20"/>
      <w:lang w:eastAsia="en-US"/>
    </w:rPr>
  </w:style>
  <w:style w:type="character" w:customStyle="1" w:styleId="a4">
    <w:name w:val="Текст сноски Знак"/>
    <w:basedOn w:val="a0"/>
    <w:link w:val="a3"/>
    <w:uiPriority w:val="99"/>
    <w:rsid w:val="001F73FC"/>
    <w:rPr>
      <w:rFonts w:ascii="Times New Roman" w:eastAsia="Calibri" w:hAnsi="Times New Roman" w:cs="Times New Roman"/>
      <w:sz w:val="20"/>
      <w:szCs w:val="20"/>
    </w:rPr>
  </w:style>
  <w:style w:type="character" w:styleId="a5">
    <w:name w:val="footnote reference"/>
    <w:uiPriority w:val="99"/>
    <w:semiHidden/>
    <w:unhideWhenUsed/>
    <w:rsid w:val="001F73FC"/>
    <w:rPr>
      <w:vertAlign w:val="superscript"/>
    </w:rPr>
  </w:style>
  <w:style w:type="paragraph" w:styleId="a6">
    <w:name w:val="Balloon Text"/>
    <w:basedOn w:val="a"/>
    <w:link w:val="a7"/>
    <w:uiPriority w:val="99"/>
    <w:semiHidden/>
    <w:unhideWhenUsed/>
    <w:rsid w:val="001F73F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73FC"/>
    <w:rPr>
      <w:rFonts w:ascii="Tahoma" w:eastAsiaTheme="minorEastAsia" w:hAnsi="Tahoma" w:cs="Tahoma"/>
      <w:sz w:val="16"/>
      <w:szCs w:val="16"/>
      <w:lang w:eastAsia="ru-RU"/>
    </w:rPr>
  </w:style>
  <w:style w:type="paragraph" w:styleId="a8">
    <w:name w:val="header"/>
    <w:basedOn w:val="a"/>
    <w:link w:val="a9"/>
    <w:uiPriority w:val="99"/>
    <w:unhideWhenUsed/>
    <w:rsid w:val="001F73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F73FC"/>
    <w:rPr>
      <w:rFonts w:eastAsiaTheme="minorEastAsia"/>
      <w:lang w:eastAsia="ru-RU"/>
    </w:rPr>
  </w:style>
  <w:style w:type="paragraph" w:styleId="aa">
    <w:name w:val="footer"/>
    <w:basedOn w:val="a"/>
    <w:link w:val="ab"/>
    <w:uiPriority w:val="99"/>
    <w:semiHidden/>
    <w:unhideWhenUsed/>
    <w:rsid w:val="001F73F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F73FC"/>
    <w:rPr>
      <w:rFonts w:eastAsiaTheme="minorEastAsia"/>
      <w:lang w:eastAsia="ru-RU"/>
    </w:rPr>
  </w:style>
  <w:style w:type="character" w:customStyle="1" w:styleId="20">
    <w:name w:val="Заголовок 2 Знак"/>
    <w:basedOn w:val="a0"/>
    <w:link w:val="2"/>
    <w:uiPriority w:val="9"/>
    <w:rsid w:val="004271BB"/>
    <w:rPr>
      <w:rFonts w:ascii="Cambria" w:eastAsia="Times New Roman" w:hAnsi="Cambria" w:cs="Times New Roman"/>
      <w:b/>
      <w:bCs/>
      <w:i/>
      <w:iCs/>
      <w:sz w:val="28"/>
      <w:szCs w:val="28"/>
      <w:lang w:eastAsia="ru-RU"/>
    </w:rPr>
  </w:style>
</w:styles>
</file>

<file path=word/webSettings.xml><?xml version="1.0" encoding="utf-8"?>
<w:webSettings xmlns:r="http://schemas.openxmlformats.org/officeDocument/2006/relationships" xmlns:w="http://schemas.openxmlformats.org/wordprocessingml/2006/main">
  <w:divs>
    <w:div w:id="172885269">
      <w:bodyDiv w:val="1"/>
      <w:marLeft w:val="0"/>
      <w:marRight w:val="0"/>
      <w:marTop w:val="0"/>
      <w:marBottom w:val="0"/>
      <w:divBdr>
        <w:top w:val="none" w:sz="0" w:space="0" w:color="auto"/>
        <w:left w:val="none" w:sz="0" w:space="0" w:color="auto"/>
        <w:bottom w:val="none" w:sz="0" w:space="0" w:color="auto"/>
        <w:right w:val="none" w:sz="0" w:space="0" w:color="auto"/>
      </w:divBdr>
    </w:div>
    <w:div w:id="485706731">
      <w:bodyDiv w:val="1"/>
      <w:marLeft w:val="0"/>
      <w:marRight w:val="0"/>
      <w:marTop w:val="0"/>
      <w:marBottom w:val="0"/>
      <w:divBdr>
        <w:top w:val="none" w:sz="0" w:space="0" w:color="auto"/>
        <w:left w:val="none" w:sz="0" w:space="0" w:color="auto"/>
        <w:bottom w:val="none" w:sz="0" w:space="0" w:color="auto"/>
        <w:right w:val="none" w:sz="0" w:space="0" w:color="auto"/>
      </w:divBdr>
    </w:div>
    <w:div w:id="730731839">
      <w:bodyDiv w:val="1"/>
      <w:marLeft w:val="0"/>
      <w:marRight w:val="0"/>
      <w:marTop w:val="0"/>
      <w:marBottom w:val="0"/>
      <w:divBdr>
        <w:top w:val="none" w:sz="0" w:space="0" w:color="auto"/>
        <w:left w:val="none" w:sz="0" w:space="0" w:color="auto"/>
        <w:bottom w:val="none" w:sz="0" w:space="0" w:color="auto"/>
        <w:right w:val="none" w:sz="0" w:space="0" w:color="auto"/>
      </w:divBdr>
    </w:div>
    <w:div w:id="99309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48</Pages>
  <Words>13328</Words>
  <Characters>75975</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WinXPProSP3</cp:lastModifiedBy>
  <cp:revision>8</cp:revision>
  <dcterms:created xsi:type="dcterms:W3CDTF">2015-04-15T05:15:00Z</dcterms:created>
  <dcterms:modified xsi:type="dcterms:W3CDTF">2015-05-24T09:55:00Z</dcterms:modified>
</cp:coreProperties>
</file>